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97CCF" w14:textId="77777777" w:rsidR="00DD64CA" w:rsidRPr="007C7C9C" w:rsidRDefault="00DD64CA" w:rsidP="007C7C9C">
      <w:pPr>
        <w:pStyle w:val="Titolo2"/>
        <w:jc w:val="center"/>
        <w:rPr>
          <w:rFonts w:ascii="Poppins" w:hAnsi="Poppins" w:cs="Poppins"/>
          <w:color w:val="124F1A" w:themeColor="accent3" w:themeShade="BF"/>
          <w:sz w:val="36"/>
          <w:szCs w:val="36"/>
          <w:lang w:val="en-GB"/>
        </w:rPr>
      </w:pPr>
      <w:bookmarkStart w:id="0" w:name="_Toc188282649"/>
    </w:p>
    <w:p w14:paraId="177FF4D7" w14:textId="77777777" w:rsidR="00A65CB4" w:rsidRPr="00A65CB4" w:rsidRDefault="00A65CB4" w:rsidP="00A65CB4">
      <w:pPr>
        <w:pStyle w:val="Titolo1"/>
        <w:jc w:val="center"/>
        <w:rPr>
          <w:rFonts w:ascii="Poppins" w:hAnsi="Poppins" w:cs="Poppins"/>
          <w:color w:val="124F1A" w:themeColor="accent3" w:themeShade="BF"/>
          <w:sz w:val="36"/>
          <w:szCs w:val="36"/>
          <w:lang w:val="en-GB"/>
        </w:rPr>
      </w:pPr>
      <w:bookmarkStart w:id="1" w:name="_Toc187013367"/>
      <w:bookmarkStart w:id="2" w:name="_Toc188269394"/>
      <w:bookmarkStart w:id="3" w:name="_Toc188282655"/>
      <w:bookmarkEnd w:id="0"/>
      <w:r w:rsidRPr="00A65CB4">
        <w:rPr>
          <w:rFonts w:ascii="Poppins" w:hAnsi="Poppins" w:cs="Poppins"/>
          <w:color w:val="124F1A" w:themeColor="accent3" w:themeShade="BF"/>
          <w:sz w:val="36"/>
          <w:szCs w:val="36"/>
          <w:lang w:val="en-GB"/>
        </w:rPr>
        <w:t>Glossario essenziale della Silver Economy</w:t>
      </w:r>
      <w:bookmarkEnd w:id="1"/>
      <w:bookmarkEnd w:id="2"/>
      <w:bookmarkEnd w:id="3"/>
    </w:p>
    <w:p w14:paraId="22E0A038" w14:textId="77777777" w:rsidR="00A65CB4" w:rsidRPr="008B346E" w:rsidRDefault="00A65CB4" w:rsidP="00A65CB4">
      <w:pPr>
        <w:rPr>
          <w:lang w:val="en-GB"/>
        </w:rPr>
      </w:pPr>
    </w:p>
    <w:p w14:paraId="1E6F3C18" w14:textId="77777777" w:rsidR="00A65CB4" w:rsidRPr="008B346E" w:rsidRDefault="00A65CB4" w:rsidP="00A65CB4">
      <w:pPr>
        <w:pStyle w:val="Titolo2"/>
        <w:numPr>
          <w:ilvl w:val="1"/>
          <w:numId w:val="1"/>
        </w:numPr>
        <w:tabs>
          <w:tab w:val="num" w:pos="360"/>
        </w:tabs>
        <w:ind w:left="0" w:firstLine="0"/>
        <w:rPr>
          <w:lang w:val="en-GB"/>
        </w:rPr>
      </w:pPr>
      <w:bookmarkStart w:id="4" w:name="_Toc187013368"/>
      <w:bookmarkStart w:id="5" w:name="_Toc188269395"/>
      <w:bookmarkStart w:id="6" w:name="_Toc188282656"/>
      <w:r w:rsidRPr="008B346E">
        <w:rPr>
          <w:lang w:val="en-GB"/>
        </w:rPr>
        <w:t>discriminazione basata sull'età</w:t>
      </w:r>
      <w:bookmarkEnd w:id="4"/>
      <w:bookmarkEnd w:id="5"/>
      <w:bookmarkEnd w:id="6"/>
    </w:p>
    <w:p w14:paraId="2C611D97" w14:textId="77777777" w:rsidR="00A65CB4" w:rsidRPr="008B346E" w:rsidRDefault="00A65CB4" w:rsidP="00A65CB4">
      <w:pPr>
        <w:jc w:val="both"/>
        <w:rPr>
          <w:rFonts w:ascii="Poppins" w:hAnsi="Poppins" w:cs="Poppins"/>
          <w:color w:val="000000"/>
          <w:sz w:val="20"/>
          <w:szCs w:val="20"/>
          <w:lang w:val="en-GB"/>
        </w:rPr>
      </w:pPr>
      <w:r w:rsidRPr="008B346E">
        <w:rPr>
          <w:rFonts w:ascii="Poppins" w:hAnsi="Poppins" w:cs="Poppins"/>
          <w:color w:val="000000"/>
          <w:sz w:val="20"/>
          <w:szCs w:val="20"/>
          <w:lang w:val="en-GB"/>
        </w:rPr>
        <w:t>L'ageismo comprende stereotipi, pregiudizi e discriminazioni rivolte a individui o gruppi in base alla loro età. Si manifesta in vari modi, tra cui politiche discriminatorie, atteggiamenti sociali e comportamenti interpersonali. Nel contesto della silver economy, l'ageismo colpisce prevalentemente gli anziani, spesso rappresentandoli come meno capaci, meno adattabili o addirittura un peso per la società. Tuttavia, in una prospettiva più ampia, può avere un impatto anche sui giovani, che possono essere percepiti come inesperti o immaturi. Un'espressione specifica dell'ageismo, che colpisce in particolare gli anziani, è la gerontofobia, una paura o avversione irrazionale per l'invecchiamento e gli anziani.</w:t>
      </w:r>
    </w:p>
    <w:p w14:paraId="24B8FE87" w14:textId="77777777" w:rsidR="00A65CB4" w:rsidRPr="008B346E" w:rsidRDefault="00A65CB4" w:rsidP="00A65CB4">
      <w:pPr>
        <w:jc w:val="both"/>
        <w:rPr>
          <w:rFonts w:ascii="Poppins" w:hAnsi="Poppins" w:cs="Poppins"/>
          <w:color w:val="000000"/>
          <w:sz w:val="20"/>
          <w:szCs w:val="20"/>
          <w:lang w:val="en-GB"/>
        </w:rPr>
      </w:pPr>
      <w:r w:rsidRPr="008B346E">
        <w:rPr>
          <w:rFonts w:ascii="Poppins" w:hAnsi="Poppins" w:cs="Poppins"/>
          <w:color w:val="000000"/>
          <w:sz w:val="20"/>
          <w:szCs w:val="20"/>
          <w:lang w:val="en-GB"/>
        </w:rPr>
        <w:t>Riferimenti: Bojanić et al. (2024); Collins e Neugarten (2014); Collins e Neugarten (2014); Levy e Apriceno (2019); Prieto Padín (2022); Marchesi et al. (2020).</w:t>
      </w:r>
    </w:p>
    <w:p w14:paraId="68093E42" w14:textId="77777777" w:rsidR="00A65CB4" w:rsidRPr="008B346E" w:rsidRDefault="00A65CB4" w:rsidP="00A65CB4">
      <w:pPr>
        <w:pStyle w:val="Titolo2"/>
        <w:numPr>
          <w:ilvl w:val="1"/>
          <w:numId w:val="1"/>
        </w:numPr>
        <w:tabs>
          <w:tab w:val="num" w:pos="360"/>
        </w:tabs>
        <w:ind w:left="0" w:firstLine="0"/>
        <w:rPr>
          <w:lang w:val="en-GB"/>
        </w:rPr>
      </w:pPr>
      <w:bookmarkStart w:id="7" w:name="_Toc187013369"/>
      <w:bookmarkStart w:id="8" w:name="_Toc188269396"/>
      <w:bookmarkStart w:id="9" w:name="_Toc188282657"/>
      <w:r w:rsidRPr="008B346E">
        <w:rPr>
          <w:lang w:val="en-GB"/>
        </w:rPr>
        <w:t>ADL e IADL</w:t>
      </w:r>
      <w:bookmarkEnd w:id="7"/>
      <w:bookmarkEnd w:id="8"/>
      <w:bookmarkEnd w:id="9"/>
    </w:p>
    <w:p w14:paraId="45A6532D" w14:textId="77777777" w:rsidR="00A65CB4" w:rsidRPr="008B346E" w:rsidRDefault="00A65CB4" w:rsidP="00A65CB4">
      <w:pPr>
        <w:jc w:val="both"/>
        <w:rPr>
          <w:rFonts w:ascii="Poppins" w:hAnsi="Poppins" w:cs="Poppins"/>
          <w:sz w:val="20"/>
          <w:szCs w:val="20"/>
          <w:lang w:val="en-GB"/>
        </w:rPr>
      </w:pPr>
      <w:r w:rsidRPr="008B346E">
        <w:rPr>
          <w:rFonts w:ascii="Poppins" w:hAnsi="Poppins" w:cs="Poppins"/>
          <w:sz w:val="20"/>
          <w:szCs w:val="20"/>
          <w:lang w:val="en-GB"/>
        </w:rPr>
        <w:t>L'abbreviazione ADL sta per Activities of Daily Living (Attività della vita quotidiana), come mangiare in modo indipendente, incluso tagliare il cibo, sdraiarsi e alzarsi dal letto, sedersi e alzarsi da una sedia, vestirsi e svestirsi, usare il bagno e fare il bagno o la doccia senza l'assistenza di un'altra persona o l'uso di ausili/dispositivi o modifiche alla casa. IADL sta per Instrumental Activities of Daily Living (Attività strumentali della vita quotidiana), che si riferisce ai compiti necessari per una vita indipendente, come preparare i pasti, usare il telefono, fare la spesa, assumere farmaci, svolgere lavori domestici leggeri, svolgere occasionalmente lavori domestici pesanti e gestire le finanze personali. L'elenco di queste attività è stilato da Eurostat per consentire la valutazione, in un approccio comparativo, del grado di autonomia degli individui residenti nei diversi Paesi che adottano questo standard per la costruzione di indicatori di salute.</w:t>
      </w:r>
    </w:p>
    <w:p w14:paraId="18D1C017" w14:textId="77777777" w:rsidR="00A65CB4" w:rsidRPr="008B346E" w:rsidRDefault="00A65CB4" w:rsidP="00A65CB4">
      <w:pPr>
        <w:jc w:val="both"/>
        <w:rPr>
          <w:rFonts w:ascii="Poppins" w:hAnsi="Poppins" w:cs="Poppins"/>
          <w:sz w:val="20"/>
          <w:szCs w:val="20"/>
          <w:lang w:val="en-GB"/>
        </w:rPr>
      </w:pPr>
      <w:r w:rsidRPr="008B346E">
        <w:rPr>
          <w:rFonts w:ascii="Poppins" w:hAnsi="Poppins" w:cs="Poppins"/>
          <w:sz w:val="20"/>
          <w:szCs w:val="20"/>
          <w:lang w:val="en-GB"/>
        </w:rPr>
        <w:t>Riferimenti: Eurostat e Istat : Indagine europea sulla salute.</w:t>
      </w:r>
    </w:p>
    <w:p w14:paraId="41C2E48F" w14:textId="77777777" w:rsidR="00A65CB4" w:rsidRPr="008B346E" w:rsidRDefault="00A65CB4" w:rsidP="00A65CB4">
      <w:pPr>
        <w:pStyle w:val="Titolo2"/>
        <w:numPr>
          <w:ilvl w:val="1"/>
          <w:numId w:val="1"/>
        </w:numPr>
        <w:tabs>
          <w:tab w:val="num" w:pos="360"/>
        </w:tabs>
        <w:ind w:left="0" w:firstLine="0"/>
        <w:rPr>
          <w:lang w:val="en-GB"/>
        </w:rPr>
      </w:pPr>
      <w:bookmarkStart w:id="10" w:name="_Toc187013370"/>
      <w:bookmarkStart w:id="11" w:name="_Toc188269397"/>
      <w:bookmarkStart w:id="12" w:name="_Toc188282658"/>
      <w:r w:rsidRPr="008B346E">
        <w:rPr>
          <w:lang w:val="en-GB"/>
        </w:rPr>
        <w:t>Gestione dell'età</w:t>
      </w:r>
      <w:bookmarkEnd w:id="10"/>
      <w:bookmarkEnd w:id="11"/>
      <w:bookmarkEnd w:id="12"/>
    </w:p>
    <w:p w14:paraId="6CC7103F" w14:textId="77777777" w:rsidR="00A65CB4" w:rsidRPr="008B346E" w:rsidRDefault="00A65CB4" w:rsidP="00A65CB4">
      <w:pPr>
        <w:jc w:val="both"/>
        <w:rPr>
          <w:rFonts w:ascii="Poppins" w:hAnsi="Poppins" w:cs="Poppins"/>
          <w:sz w:val="20"/>
          <w:szCs w:val="20"/>
          <w:lang w:val="en-GB"/>
        </w:rPr>
      </w:pPr>
      <w:r w:rsidRPr="008B346E">
        <w:rPr>
          <w:rFonts w:ascii="Poppins" w:hAnsi="Poppins" w:cs="Poppins"/>
          <w:sz w:val="20"/>
          <w:szCs w:val="20"/>
          <w:lang w:val="en-GB"/>
        </w:rPr>
        <w:t xml:space="preserve">L'Age Management si riferisce a un insieme di strategie e interventi organizzativi progettati per gestire e valorizzare il contributo dei lavoratori di tutte le fasce d'età, con particolare attenzione ai lavoratori maturi. L'obiettivo primario dell'Age Management è promuovere una coesistenza armoniosa tra le diverse generazioni all'interno delle organizzazioni, valorizzando le loro competenze ed esperienze complementari e prevenendo potenziali conflitti intergenerazionali. Questo approccio include misure per promuovere l'inclusione e il dialogo intergenerazionale, adattare il lavoro alle esigenze legate all'età, supportare il trasferimento di conoscenze e competenze e migliorare il benessere e la produttività dei dipendenti lungo tutto il loro percorso di carriera. Strumenti chiave in questo contesto includono politiche di formazione continua, </w:t>
      </w:r>
      <w:r w:rsidRPr="008B346E">
        <w:rPr>
          <w:rFonts w:ascii="Poppins" w:hAnsi="Poppins" w:cs="Poppins"/>
          <w:sz w:val="20"/>
          <w:szCs w:val="20"/>
          <w:lang w:val="en-GB"/>
        </w:rPr>
        <w:lastRenderedPageBreak/>
        <w:t>flessibilità organizzativa, mentoring intergenerazionale e iniziative volte a mantenere i lavoratori motivati e in buona salute fisica e mentale.</w:t>
      </w:r>
    </w:p>
    <w:p w14:paraId="1507CD51" w14:textId="5B98CA0E" w:rsidR="00A65CB4" w:rsidRPr="008B346E" w:rsidRDefault="00A65CB4" w:rsidP="00A65CB4">
      <w:pPr>
        <w:jc w:val="both"/>
        <w:rPr>
          <w:rFonts w:ascii="Poppins" w:hAnsi="Poppins" w:cs="Poppins"/>
          <w:color w:val="000000"/>
          <w:sz w:val="20"/>
          <w:szCs w:val="20"/>
          <w:lang w:val="en-GB"/>
        </w:rPr>
      </w:pPr>
      <w:r w:rsidRPr="008B346E">
        <w:rPr>
          <w:rFonts w:ascii="Poppins" w:hAnsi="Poppins" w:cs="Poppins"/>
          <w:sz w:val="20"/>
          <w:szCs w:val="20"/>
          <w:lang w:val="en-GB"/>
        </w:rPr>
        <w:t xml:space="preserve">Riferimenti: </w:t>
      </w:r>
      <w:r w:rsidRPr="008B346E">
        <w:rPr>
          <w:rFonts w:ascii="Poppins" w:hAnsi="Poppins" w:cs="Poppins"/>
          <w:color w:val="000000"/>
          <w:sz w:val="20"/>
          <w:szCs w:val="20"/>
          <w:lang w:val="en-GB"/>
        </w:rPr>
        <w:t>ISTAT (2020).</w:t>
      </w:r>
    </w:p>
    <w:p w14:paraId="675C5751" w14:textId="77777777" w:rsidR="00A65CB4" w:rsidRPr="008B346E" w:rsidRDefault="00A65CB4" w:rsidP="00A65CB4">
      <w:pPr>
        <w:pStyle w:val="Titolo2"/>
        <w:numPr>
          <w:ilvl w:val="1"/>
          <w:numId w:val="1"/>
        </w:numPr>
        <w:tabs>
          <w:tab w:val="num" w:pos="360"/>
        </w:tabs>
        <w:ind w:left="0" w:firstLine="0"/>
        <w:rPr>
          <w:lang w:val="en-GB"/>
        </w:rPr>
      </w:pPr>
      <w:bookmarkStart w:id="13" w:name="_Toc187013371"/>
      <w:bookmarkStart w:id="14" w:name="_Toc188269398"/>
      <w:bookmarkStart w:id="15" w:name="_Toc188282659"/>
      <w:r w:rsidRPr="008B346E">
        <w:rPr>
          <w:lang w:val="en-GB"/>
        </w:rPr>
        <w:t>Caregiver</w:t>
      </w:r>
      <w:bookmarkEnd w:id="13"/>
      <w:bookmarkEnd w:id="14"/>
      <w:bookmarkEnd w:id="15"/>
    </w:p>
    <w:p w14:paraId="5C8EB5C9" w14:textId="77777777" w:rsidR="00A65CB4" w:rsidRPr="008B346E" w:rsidRDefault="00A65CB4" w:rsidP="00A65CB4">
      <w:pPr>
        <w:jc w:val="both"/>
        <w:rPr>
          <w:rFonts w:ascii="Poppins" w:hAnsi="Poppins" w:cs="Poppins"/>
          <w:sz w:val="20"/>
          <w:szCs w:val="20"/>
          <w:lang w:val="en-GB"/>
        </w:rPr>
      </w:pPr>
      <w:r w:rsidRPr="008B346E">
        <w:rPr>
          <w:rFonts w:ascii="Poppins" w:hAnsi="Poppins" w:cs="Poppins"/>
          <w:sz w:val="20"/>
          <w:szCs w:val="20"/>
          <w:lang w:val="en-GB"/>
        </w:rPr>
        <w:t>Il termine "caregiver" o "carer" si riferisce a un individuo direttamente coinvolto nella cura e nel supporto di una persona non autosufficiente. La relazione di cura può essere suddivisa in due categorie principali: la cura formale, che prevede l'assistenza fornita da professionisti del settore sociale e sanitario, sia pubblico che privato, o da personale specializzato retribuito; e la cura informale, che si verifica quando l'assistenza viene fornita volontariamente, tipicamente tra familiari o individui legati da legami affettivi, senza formalizzare la relazione. La cura informale è maggiormente rappresentata dal supporto familiare, dove l'assistenza viene fornita all'interno di una relazione familiare. In Italia, lo Stato offre ai caregiver familiari alcuni benefici, come congedi, diritti lavorativi e detrazioni fiscali per le spese di assistenza. Tuttavia, la cura informale in relazioni non basate su obblighi familiari ma guidate dal desiderio di prendersi cura tra amici o individui legati da solidarietà non è ufficialmente supportata. All'interno della silver economy, è importante riconoscere il duplice ruolo degli anziani: sia come destinatari di assistenza sia come caregiver stessi. Tuttavia, questo ruolo di cura attiva non è necessariamente svolto volontariamente, ma spesso deriva dalla necessità o dall'adesione a modelli familiari tradizionali che possono limitare l'autodeterminazione degli anziani. In particolare, in questo contesto esiste una significativa disparità di genere, con le donne che spesso assumono il ruolo di cura principale. Questo onere sproporzionato, unito alle sfide derivanti dalle responsabilità familiari, dalle disuguaglianze socio-economiche e dalle disparità sul posto di lavoro, aggrava ulteriormente le sfide che le donne anziane con responsabilità di cura devono affrontare.</w:t>
      </w:r>
    </w:p>
    <w:p w14:paraId="4F6AC4D1" w14:textId="4DC868E2" w:rsidR="00A65CB4" w:rsidRPr="008B346E" w:rsidRDefault="00A65CB4" w:rsidP="00A65CB4">
      <w:pPr>
        <w:jc w:val="both"/>
        <w:rPr>
          <w:rFonts w:ascii="Poppins" w:hAnsi="Poppins" w:cs="Poppins"/>
          <w:sz w:val="20"/>
          <w:szCs w:val="20"/>
          <w:lang w:val="en-GB"/>
        </w:rPr>
      </w:pPr>
      <w:r w:rsidRPr="008B346E">
        <w:rPr>
          <w:rFonts w:ascii="Poppins" w:hAnsi="Poppins" w:cs="Poppins"/>
          <w:sz w:val="20"/>
          <w:szCs w:val="20"/>
          <w:lang w:val="en-GB"/>
        </w:rPr>
        <w:t>Riferimenti: ISTAT (2020); Petrini et al. (2019); Quashie et al. (2022).</w:t>
      </w:r>
    </w:p>
    <w:p w14:paraId="4E0D71BF" w14:textId="77777777" w:rsidR="00A65CB4" w:rsidRPr="008B346E" w:rsidRDefault="00A65CB4" w:rsidP="00A65CB4">
      <w:pPr>
        <w:pStyle w:val="Titolo2"/>
        <w:numPr>
          <w:ilvl w:val="1"/>
          <w:numId w:val="1"/>
        </w:numPr>
        <w:tabs>
          <w:tab w:val="num" w:pos="360"/>
        </w:tabs>
        <w:ind w:left="0" w:firstLine="0"/>
        <w:rPr>
          <w:lang w:val="en-GB"/>
        </w:rPr>
      </w:pPr>
      <w:bookmarkStart w:id="16" w:name="_Toc187013372"/>
      <w:bookmarkStart w:id="17" w:name="_Toc188269399"/>
      <w:bookmarkStart w:id="18" w:name="_Toc188282660"/>
      <w:r w:rsidRPr="008B346E">
        <w:rPr>
          <w:lang w:val="en-GB"/>
        </w:rPr>
        <w:t>Benessere finanziario</w:t>
      </w:r>
      <w:bookmarkEnd w:id="16"/>
      <w:bookmarkEnd w:id="17"/>
      <w:bookmarkEnd w:id="18"/>
    </w:p>
    <w:p w14:paraId="74D194D5" w14:textId="77777777" w:rsidR="00A65CB4" w:rsidRPr="008B346E" w:rsidRDefault="00A65CB4" w:rsidP="00A65CB4">
      <w:pPr>
        <w:jc w:val="both"/>
        <w:rPr>
          <w:rFonts w:ascii="Poppins" w:hAnsi="Poppins" w:cs="Poppins"/>
          <w:sz w:val="20"/>
          <w:szCs w:val="20"/>
          <w:lang w:val="en-GB"/>
        </w:rPr>
      </w:pPr>
      <w:r w:rsidRPr="008B346E">
        <w:rPr>
          <w:rFonts w:ascii="Poppins" w:hAnsi="Poppins" w:cs="Poppins"/>
          <w:sz w:val="20"/>
          <w:szCs w:val="20"/>
          <w:lang w:val="en-GB"/>
        </w:rPr>
        <w:t xml:space="preserve">Il benessere finanziario è definito come "una condizione in cui gli individui possono far fronte alle proprie obbligazioni finanziarie attuali e future, sentirsi sicuri del proprio futuro finanziario e fare scelte che consentano loro di godersi la vita" (Jajko-Siwek, 2024). La capacità di far fronte alle spese attuali e future non è determinata esclusivamente dal reddito disponibile, ma è influenzata da una serie di fattori contestuali e situazionali, tra cui lo stato di salute, il capitale sociale e culturale, l'ambiente di vita, le opportunità di accesso e la qualità dei servizi. Di conseguenza, i confronti tra paesi e regioni evidenziano significative disparità territoriali nella distribuzione del benessere finanziario (Jajko-Siwek, 2024). Inoltre, anche a parità di condizioni socioeconomiche e in tutte le fasce d'età, le donne tendono a sperimentare un benessere finanziario inferiore rispetto agli uomini a causa della discriminazione di genere, delle pressioni culturali che le indirizzano verso spese percepite come essenziali, come contrastare i segni dell'invecchiamento (Debert, 1999; Felix, 2016), e dell'insufficiente supporto da parte dei sistemi di welfare nell'adempimento dei ruoli tradizionalmente assegnati (Goli et al., 2022). Jajko-Siwek (2024) sottolinea che la Terza Età (65-79 anni) rappresenta un target particolarmente interessante per il mercato dell'argento, grazie a un benessere finanziario generalmente migliore garantito da pensioni e risparmi, nonché a una salute complessivamente migliore rispetto ai membri della </w:t>
      </w:r>
      <w:r w:rsidRPr="008B346E">
        <w:rPr>
          <w:rFonts w:ascii="Poppins" w:hAnsi="Poppins" w:cs="Poppins"/>
          <w:sz w:val="20"/>
          <w:szCs w:val="20"/>
          <w:lang w:val="en-GB"/>
        </w:rPr>
        <w:lastRenderedPageBreak/>
        <w:t>Quarta Età (80 anni e oltre). Al contrario, quest'ultima è caratterizzata da spese significativamente più elevate per l'assistenza a lungo termine, che incidono negativamente sul benessere finanziario.</w:t>
      </w:r>
    </w:p>
    <w:p w14:paraId="05586B2C" w14:textId="4A019D27" w:rsidR="00A65CB4" w:rsidRPr="008B346E" w:rsidRDefault="00A65CB4" w:rsidP="00A65CB4">
      <w:pPr>
        <w:jc w:val="both"/>
        <w:rPr>
          <w:rFonts w:ascii="Poppins" w:hAnsi="Poppins" w:cs="Poppins"/>
          <w:color w:val="000000"/>
          <w:sz w:val="20"/>
          <w:szCs w:val="20"/>
          <w:lang w:val="en-GB"/>
        </w:rPr>
      </w:pPr>
      <w:r w:rsidRPr="008B346E">
        <w:rPr>
          <w:rFonts w:ascii="Poppins" w:hAnsi="Poppins" w:cs="Poppins"/>
          <w:color w:val="000000"/>
          <w:sz w:val="20"/>
          <w:szCs w:val="20"/>
          <w:lang w:val="en-GB"/>
        </w:rPr>
        <w:t>Riferimenti: Debert (1999), Jajko-Siwek (2024), Goli et al. (2022).</w:t>
      </w:r>
    </w:p>
    <w:p w14:paraId="2C142225" w14:textId="77777777" w:rsidR="00A65CB4" w:rsidRPr="008B346E" w:rsidRDefault="00A65CB4" w:rsidP="00A65CB4">
      <w:pPr>
        <w:pStyle w:val="Titolo2"/>
        <w:numPr>
          <w:ilvl w:val="1"/>
          <w:numId w:val="1"/>
        </w:numPr>
        <w:tabs>
          <w:tab w:val="num" w:pos="360"/>
        </w:tabs>
        <w:ind w:left="0" w:firstLine="0"/>
        <w:rPr>
          <w:lang w:val="en-GB"/>
        </w:rPr>
      </w:pPr>
      <w:bookmarkStart w:id="19" w:name="_Toc187013373"/>
      <w:bookmarkStart w:id="20" w:name="_Toc188269400"/>
      <w:bookmarkStart w:id="21" w:name="_Toc188282661"/>
      <w:r w:rsidRPr="008B346E">
        <w:rPr>
          <w:lang w:val="en-GB"/>
        </w:rPr>
        <w:t>Decumulazione</w:t>
      </w:r>
      <w:bookmarkEnd w:id="19"/>
      <w:bookmarkEnd w:id="20"/>
      <w:bookmarkEnd w:id="21"/>
    </w:p>
    <w:p w14:paraId="1B6EB0E6" w14:textId="77777777" w:rsidR="00A65CB4" w:rsidRPr="008B346E" w:rsidRDefault="00A65CB4" w:rsidP="00A65CB4">
      <w:pPr>
        <w:jc w:val="both"/>
        <w:rPr>
          <w:rFonts w:ascii="Poppins" w:hAnsi="Poppins" w:cs="Poppins"/>
          <w:sz w:val="20"/>
          <w:szCs w:val="20"/>
          <w:lang w:val="en-GB"/>
        </w:rPr>
      </w:pPr>
      <w:r w:rsidRPr="008B346E">
        <w:rPr>
          <w:rFonts w:ascii="Poppins" w:hAnsi="Poppins" w:cs="Poppins"/>
          <w:sz w:val="20"/>
          <w:szCs w:val="20"/>
          <w:lang w:val="en-GB"/>
        </w:rPr>
        <w:t>Nella teoria del ciclo di vita di Franco Modigliani, la decumulazione rappresenta la fase successiva all'accumulo di ricchezza. Questa fase, che in genere coincide con il pensionamento, prevede che gli individui utilizzino i risparmi accumulati durante la vita lavorativa per mantenere un tenore di vita simile a quello di cui godevano in precedenza.</w:t>
      </w:r>
    </w:p>
    <w:p w14:paraId="0CE97967" w14:textId="3AF6B9F5" w:rsidR="00A65CB4" w:rsidRPr="008B346E" w:rsidRDefault="00A65CB4" w:rsidP="00A65CB4">
      <w:pPr>
        <w:jc w:val="both"/>
        <w:rPr>
          <w:rFonts w:ascii="Poppins" w:hAnsi="Poppins" w:cs="Poppins"/>
          <w:sz w:val="20"/>
          <w:szCs w:val="20"/>
          <w:lang w:val="en-GB"/>
        </w:rPr>
      </w:pPr>
      <w:r w:rsidRPr="008B346E">
        <w:rPr>
          <w:rFonts w:ascii="Poppins" w:hAnsi="Poppins" w:cs="Poppins"/>
          <w:color w:val="000000"/>
          <w:sz w:val="20"/>
          <w:szCs w:val="20"/>
          <w:lang w:val="en-GB"/>
        </w:rPr>
        <w:t xml:space="preserve">Riferimenti </w:t>
      </w:r>
      <w:r w:rsidRPr="008B346E">
        <w:rPr>
          <w:rFonts w:ascii="Poppins" w:hAnsi="Poppins" w:cs="Poppins"/>
          <w:sz w:val="20"/>
          <w:szCs w:val="20"/>
          <w:lang w:val="en-GB"/>
        </w:rPr>
        <w:t>: Baranzini (2005).</w:t>
      </w:r>
    </w:p>
    <w:p w14:paraId="73E31113" w14:textId="77777777" w:rsidR="00A65CB4" w:rsidRPr="008B346E" w:rsidRDefault="00A65CB4" w:rsidP="00A65CB4">
      <w:pPr>
        <w:pStyle w:val="Titolo2"/>
        <w:numPr>
          <w:ilvl w:val="1"/>
          <w:numId w:val="1"/>
        </w:numPr>
        <w:tabs>
          <w:tab w:val="num" w:pos="360"/>
        </w:tabs>
        <w:ind w:left="0" w:firstLine="0"/>
        <w:rPr>
          <w:lang w:val="en-GB"/>
        </w:rPr>
      </w:pPr>
      <w:bookmarkStart w:id="22" w:name="_Toc187013374"/>
      <w:bookmarkStart w:id="23" w:name="_Toc188269401"/>
      <w:bookmarkStart w:id="24" w:name="_Toc188282662"/>
      <w:r w:rsidRPr="008B346E">
        <w:rPr>
          <w:lang w:val="en-GB"/>
        </w:rPr>
        <w:t>Gerontotecnologie</w:t>
      </w:r>
      <w:bookmarkEnd w:id="22"/>
      <w:bookmarkEnd w:id="23"/>
      <w:bookmarkEnd w:id="24"/>
    </w:p>
    <w:p w14:paraId="6912F522" w14:textId="77777777" w:rsidR="00A65CB4" w:rsidRPr="008B346E" w:rsidRDefault="00A65CB4" w:rsidP="00A65CB4">
      <w:pPr>
        <w:jc w:val="both"/>
        <w:rPr>
          <w:rFonts w:ascii="Poppins" w:hAnsi="Poppins" w:cs="Poppins"/>
          <w:sz w:val="20"/>
          <w:szCs w:val="20"/>
          <w:lang w:val="en-GB"/>
        </w:rPr>
      </w:pPr>
      <w:r w:rsidRPr="008B346E">
        <w:rPr>
          <w:rFonts w:ascii="Poppins" w:hAnsi="Poppins" w:cs="Poppins"/>
          <w:sz w:val="20"/>
          <w:szCs w:val="20"/>
          <w:lang w:val="en-GB"/>
        </w:rPr>
        <w:t>" Gerontotecnologia " è un termine che descrive lo studio multidisciplinare delle interazioni tra tecnologia e invecchiamento. Più in generale, " gerontotecnologia " è anche utilizzato per riferirsi all'uso di tecnologie avanzate per mantenere un'elevata qualità della vita negli anziani.</w:t>
      </w:r>
    </w:p>
    <w:p w14:paraId="6522E6A4" w14:textId="2648CF36" w:rsidR="00A65CB4" w:rsidRPr="00A65CB4" w:rsidRDefault="00A65CB4" w:rsidP="00A65CB4">
      <w:pPr>
        <w:jc w:val="both"/>
        <w:rPr>
          <w:rFonts w:ascii="Poppins" w:hAnsi="Poppins" w:cs="Poppins"/>
          <w:sz w:val="20"/>
          <w:szCs w:val="20"/>
          <w:lang w:val="en-GB"/>
        </w:rPr>
      </w:pPr>
      <w:r w:rsidRPr="008B346E">
        <w:rPr>
          <w:rFonts w:ascii="Poppins" w:hAnsi="Poppins" w:cs="Poppins"/>
          <w:color w:val="000000"/>
          <w:sz w:val="20"/>
          <w:szCs w:val="20"/>
          <w:lang w:val="en-GB"/>
        </w:rPr>
        <w:t xml:space="preserve">Riferimenti </w:t>
      </w:r>
      <w:r w:rsidRPr="008B346E">
        <w:rPr>
          <w:rFonts w:ascii="Poppins" w:hAnsi="Poppins" w:cs="Poppins"/>
          <w:sz w:val="20"/>
          <w:szCs w:val="20"/>
          <w:lang w:val="en-GB"/>
        </w:rPr>
        <w:t>: Bouma &amp; Graafmans (1992), Bouma (1992), Klimczuk (2012), Laperche (2021), Laperche et al. (2019), Magni-Berton &amp; Panel (2021); vedere il capitolo 4.5.</w:t>
      </w:r>
    </w:p>
    <w:p w14:paraId="06F71B0A" w14:textId="77777777" w:rsidR="00A65CB4" w:rsidRPr="008B346E" w:rsidRDefault="00A65CB4" w:rsidP="00A65CB4">
      <w:pPr>
        <w:pStyle w:val="Titolo2"/>
        <w:numPr>
          <w:ilvl w:val="1"/>
          <w:numId w:val="1"/>
        </w:numPr>
        <w:tabs>
          <w:tab w:val="num" w:pos="360"/>
        </w:tabs>
        <w:ind w:left="0" w:firstLine="0"/>
        <w:rPr>
          <w:lang w:val="en-GB"/>
        </w:rPr>
      </w:pPr>
      <w:bookmarkStart w:id="25" w:name="_Toc187013375"/>
      <w:bookmarkStart w:id="26" w:name="_Toc188269402"/>
      <w:bookmarkStart w:id="27" w:name="_Toc188282663"/>
      <w:r w:rsidRPr="008B346E">
        <w:rPr>
          <w:lang w:val="en-GB"/>
        </w:rPr>
        <w:t>Assistenza a lungo termine</w:t>
      </w:r>
      <w:bookmarkEnd w:id="25"/>
      <w:bookmarkEnd w:id="26"/>
      <w:bookmarkEnd w:id="27"/>
      <w:r w:rsidRPr="008B346E">
        <w:rPr>
          <w:lang w:val="en-GB"/>
        </w:rPr>
        <w:t xml:space="preserve"> </w:t>
      </w:r>
    </w:p>
    <w:p w14:paraId="50D512F7" w14:textId="77777777" w:rsidR="00A65CB4" w:rsidRPr="008B346E" w:rsidRDefault="00A65CB4" w:rsidP="00A65CB4">
      <w:pPr>
        <w:jc w:val="both"/>
        <w:rPr>
          <w:rFonts w:ascii="Poppins" w:hAnsi="Poppins" w:cs="Poppins"/>
          <w:sz w:val="20"/>
          <w:szCs w:val="20"/>
          <w:lang w:val="en-GB"/>
        </w:rPr>
      </w:pPr>
      <w:r w:rsidRPr="008B346E">
        <w:rPr>
          <w:rFonts w:ascii="Poppins" w:hAnsi="Poppins" w:cs="Poppins"/>
          <w:sz w:val="20"/>
          <w:szCs w:val="20"/>
          <w:lang w:val="en-GB"/>
        </w:rPr>
        <w:t>L'assistenza a lungo termine (sanitaria e sociale) consiste in una serie di servizi medici, di cura personale e di assistenza forniti con l'obiettivo primario di alleviare il dolore e ridurre o gestire il deterioramento dello stato di salute delle persone con un certo grado di dipendenza a lungo termine, assistendole nella cura personale (attraverso l'aiuto nelle attività della vita quotidiana, ADL, come mangiare, lavarsi e vestirsi) e aiutandole a vivere in modo indipendente (attraverso l'aiuto nelle attività strumentali della vita quotidiana, IADL, come cucinare, fare la spesa e gestire le finanze).</w:t>
      </w:r>
    </w:p>
    <w:p w14:paraId="1A68F243" w14:textId="524210F9" w:rsidR="00A65CB4" w:rsidRPr="008B346E" w:rsidRDefault="00A65CB4" w:rsidP="00A65CB4">
      <w:pPr>
        <w:jc w:val="both"/>
        <w:rPr>
          <w:rFonts w:ascii="Poppins" w:hAnsi="Poppins" w:cs="Poppins"/>
          <w:color w:val="000000"/>
          <w:sz w:val="20"/>
          <w:szCs w:val="20"/>
          <w:lang w:val="en-GB"/>
        </w:rPr>
      </w:pPr>
      <w:r w:rsidRPr="008B346E">
        <w:rPr>
          <w:rFonts w:ascii="Poppins" w:hAnsi="Poppins" w:cs="Poppins"/>
          <w:color w:val="000000"/>
          <w:sz w:val="20"/>
          <w:szCs w:val="20"/>
          <w:lang w:val="en-GB"/>
        </w:rPr>
        <w:t>Riferimento: Brugiavini et al. (2023), Notarnicola et al. (2020), OCSE (2024), Spetz et al. (2015), Vetrano (2023).</w:t>
      </w:r>
    </w:p>
    <w:p w14:paraId="4722A3C5" w14:textId="77777777" w:rsidR="00A65CB4" w:rsidRPr="008B346E" w:rsidRDefault="00A65CB4" w:rsidP="00A65CB4">
      <w:pPr>
        <w:pStyle w:val="Titolo2"/>
        <w:numPr>
          <w:ilvl w:val="1"/>
          <w:numId w:val="1"/>
        </w:numPr>
        <w:tabs>
          <w:tab w:val="num" w:pos="360"/>
        </w:tabs>
        <w:ind w:left="0" w:firstLine="0"/>
        <w:rPr>
          <w:lang w:val="en-GB"/>
        </w:rPr>
      </w:pPr>
      <w:bookmarkStart w:id="28" w:name="_Toc187013376"/>
      <w:bookmarkStart w:id="29" w:name="_Toc188269403"/>
      <w:bookmarkStart w:id="30" w:name="_Toc188282664"/>
      <w:r w:rsidRPr="008B346E">
        <w:rPr>
          <w:lang w:val="en-GB"/>
        </w:rPr>
        <w:t>Economia della longevità</w:t>
      </w:r>
      <w:bookmarkEnd w:id="28"/>
      <w:bookmarkEnd w:id="29"/>
      <w:bookmarkEnd w:id="30"/>
      <w:r w:rsidRPr="008B346E">
        <w:rPr>
          <w:lang w:val="en-GB"/>
        </w:rPr>
        <w:t xml:space="preserve"> </w:t>
      </w:r>
    </w:p>
    <w:p w14:paraId="16F19596" w14:textId="77777777" w:rsidR="00A65CB4" w:rsidRPr="008B346E" w:rsidRDefault="00A65CB4" w:rsidP="00A65CB4">
      <w:pPr>
        <w:jc w:val="both"/>
        <w:rPr>
          <w:rFonts w:ascii="Poppins" w:hAnsi="Poppins" w:cs="Poppins"/>
          <w:sz w:val="20"/>
          <w:szCs w:val="20"/>
          <w:lang w:val="en-GB"/>
        </w:rPr>
      </w:pPr>
      <w:r w:rsidRPr="008B346E">
        <w:rPr>
          <w:rFonts w:ascii="Poppins" w:hAnsi="Poppins" w:cs="Poppins"/>
          <w:sz w:val="20"/>
          <w:szCs w:val="20"/>
          <w:lang w:val="en-GB"/>
        </w:rPr>
        <w:t>L'economia della longevità è un approccio analitico alla comprensione dei fenomeni economici legati all'invecchiamento demografico. Esamina le connessioni tra economia e benessere in tutte le fasi della vita, con particolare attenzione alle politiche che promuovono un invecchiamento sano e migliorano la qualità della vita dell'intera popolazione. Mentre alcune fonti utilizzano il termine "economia della longevità" come sinonimo di "economia d'argento", altre ne evidenziano le principali distinzioni. La "silver economy" si concentra principalmente sui modelli di consumo e sui servizi rivolti agli anziani, mentre l'economia della longevità adotta una prospettiva più ampia e inclusiva. Dà priorità a valori come l'inclusività, l'equità e la sostenibilità a lungo termine. In questo modo, va oltre la semplice risposta alle esigenze immediate del mercato delle generazioni più anziane e mira invece a creare condizioni che promuovano il benessere collettivo, indipendentemente dall'età o dalla fase della vita di un individuo.</w:t>
      </w:r>
    </w:p>
    <w:p w14:paraId="381FDFBC" w14:textId="4B920FCD" w:rsidR="00A65CB4" w:rsidRPr="00A65CB4" w:rsidRDefault="00A65CB4" w:rsidP="00A65CB4">
      <w:pPr>
        <w:jc w:val="both"/>
        <w:rPr>
          <w:rFonts w:ascii="Poppins" w:hAnsi="Poppins" w:cs="Poppins"/>
          <w:color w:val="000000"/>
          <w:sz w:val="20"/>
          <w:szCs w:val="20"/>
          <w:lang w:val="en-GB"/>
        </w:rPr>
      </w:pPr>
      <w:r w:rsidRPr="008B346E">
        <w:rPr>
          <w:rFonts w:ascii="Poppins" w:hAnsi="Poppins" w:cs="Poppins"/>
          <w:color w:val="000000"/>
          <w:sz w:val="20"/>
          <w:szCs w:val="20"/>
          <w:lang w:val="en-GB"/>
        </w:rPr>
        <w:lastRenderedPageBreak/>
        <w:t>Riferimenti: Coughlin (2017); Felix (2016); Oxford Economics (2016, 2013); World Economic Forum (2024); vedere Capitolo 3.4.</w:t>
      </w:r>
    </w:p>
    <w:p w14:paraId="39D6F967" w14:textId="77777777" w:rsidR="00A65CB4" w:rsidRPr="008B346E" w:rsidRDefault="00A65CB4" w:rsidP="00A65CB4">
      <w:pPr>
        <w:pStyle w:val="Titolo2"/>
        <w:numPr>
          <w:ilvl w:val="1"/>
          <w:numId w:val="1"/>
        </w:numPr>
        <w:tabs>
          <w:tab w:val="num" w:pos="360"/>
        </w:tabs>
        <w:ind w:left="0" w:firstLine="0"/>
        <w:rPr>
          <w:lang w:val="en-GB"/>
        </w:rPr>
      </w:pPr>
      <w:bookmarkStart w:id="31" w:name="_Toc187013377"/>
      <w:bookmarkStart w:id="32" w:name="_Toc188269404"/>
      <w:bookmarkStart w:id="33" w:name="_Toc188282665"/>
      <w:r w:rsidRPr="008B346E">
        <w:rPr>
          <w:lang w:val="en-GB"/>
        </w:rPr>
        <w:t>Industria dell'argento</w:t>
      </w:r>
      <w:bookmarkEnd w:id="31"/>
      <w:bookmarkEnd w:id="32"/>
      <w:bookmarkEnd w:id="33"/>
    </w:p>
    <w:p w14:paraId="072AB08D" w14:textId="77777777" w:rsidR="00A65CB4" w:rsidRPr="008B346E" w:rsidRDefault="00A65CB4" w:rsidP="00A65CB4">
      <w:pPr>
        <w:jc w:val="both"/>
        <w:rPr>
          <w:rFonts w:ascii="Poppins" w:hAnsi="Poppins" w:cs="Poppins"/>
          <w:sz w:val="20"/>
          <w:szCs w:val="20"/>
          <w:lang w:val="en-GB"/>
        </w:rPr>
      </w:pPr>
      <w:r w:rsidRPr="008B346E">
        <w:rPr>
          <w:rFonts w:ascii="Poppins" w:hAnsi="Poppins" w:cs="Poppins"/>
          <w:sz w:val="20"/>
          <w:szCs w:val="20"/>
          <w:lang w:val="en-GB"/>
        </w:rPr>
        <w:t>L'industria dell'argento si riferisce al settore economico dedicato a prodotti, servizi e soluzioni progettati per soddisfare le esigenze e le preferenze degli anziani. Comprende un'ampia gamma di settori, tra cui assistenza sanitaria, tecnologie assistive, edilizia abitativa, servizi finanziari, tempo libero e cura della persona, tutti pensati per una popolazione che invecchia. A differenza del concetto più ampio di "economia dell'argento", che include l'impatto economico complessivo della partecipazione degli anziani ai consumi e alla produzione, l'industria dell'argento si concentra specificamente sul lato dell'offerta, sviluppando e fornendo beni e servizi che rispondano alle esigenze specifiche degli anziani.</w:t>
      </w:r>
    </w:p>
    <w:p w14:paraId="6DC2F6B3" w14:textId="3D75022A" w:rsidR="00A65CB4" w:rsidRPr="008B346E" w:rsidRDefault="00A65CB4" w:rsidP="00A65CB4">
      <w:pPr>
        <w:jc w:val="both"/>
        <w:rPr>
          <w:rFonts w:ascii="Poppins" w:hAnsi="Poppins" w:cs="Poppins"/>
          <w:color w:val="000000"/>
          <w:sz w:val="20"/>
          <w:szCs w:val="20"/>
          <w:lang w:val="en-GB"/>
        </w:rPr>
      </w:pPr>
      <w:r w:rsidRPr="008B346E">
        <w:rPr>
          <w:rFonts w:ascii="Poppins" w:hAnsi="Poppins" w:cs="Poppins"/>
          <w:color w:val="000000"/>
          <w:sz w:val="20"/>
          <w:szCs w:val="20"/>
          <w:lang w:val="en-GB"/>
        </w:rPr>
        <w:t>Riferimento: vedere Capitolo 4.</w:t>
      </w:r>
    </w:p>
    <w:p w14:paraId="6B7F2DC8" w14:textId="77777777" w:rsidR="00A65CB4" w:rsidRPr="008B346E" w:rsidRDefault="00A65CB4" w:rsidP="00A65CB4">
      <w:pPr>
        <w:pStyle w:val="Titolo2"/>
        <w:numPr>
          <w:ilvl w:val="1"/>
          <w:numId w:val="1"/>
        </w:numPr>
        <w:tabs>
          <w:tab w:val="num" w:pos="360"/>
        </w:tabs>
        <w:ind w:left="0" w:firstLine="0"/>
        <w:rPr>
          <w:lang w:val="en-GB"/>
        </w:rPr>
      </w:pPr>
      <w:bookmarkStart w:id="34" w:name="_Toc187013378"/>
      <w:bookmarkStart w:id="35" w:name="_Toc188269405"/>
      <w:bookmarkStart w:id="36" w:name="_Toc188282666"/>
      <w:r w:rsidRPr="008B346E">
        <w:rPr>
          <w:lang w:val="en-GB"/>
        </w:rPr>
        <w:t>Mercato dell'argento</w:t>
      </w:r>
      <w:bookmarkEnd w:id="34"/>
      <w:bookmarkEnd w:id="35"/>
      <w:bookmarkEnd w:id="36"/>
    </w:p>
    <w:p w14:paraId="090C3C22" w14:textId="77777777" w:rsidR="00A65CB4" w:rsidRPr="008B346E" w:rsidRDefault="00A65CB4" w:rsidP="00A65CB4">
      <w:pPr>
        <w:jc w:val="both"/>
        <w:rPr>
          <w:rFonts w:ascii="Poppins" w:hAnsi="Poppins" w:cs="Poppins"/>
          <w:color w:val="000000"/>
          <w:sz w:val="20"/>
          <w:szCs w:val="20"/>
          <w:lang w:val="en-GB"/>
        </w:rPr>
      </w:pPr>
      <w:r w:rsidRPr="008B346E">
        <w:rPr>
          <w:rFonts w:ascii="Poppins" w:hAnsi="Poppins" w:cs="Poppins"/>
          <w:color w:val="000000"/>
          <w:sz w:val="20"/>
          <w:szCs w:val="20"/>
          <w:lang w:val="en-GB"/>
        </w:rPr>
        <w:t>Il Mercato dell'Argento (noto anche come Mercato dell'Invecchiamento) si riferisce al segmento dell'economia incentrato sulla domanda di prodotti, servizi ed esperienze su misura per gli anziani. Comprende il potere d'acquisto e i modelli di consumo di questa fascia demografica, guidati dalle loro specifiche esigenze, preferenze e stili di vita.</w:t>
      </w:r>
    </w:p>
    <w:p w14:paraId="7C532A2F" w14:textId="4CE0E52A" w:rsidR="00A65CB4" w:rsidRPr="008B346E" w:rsidRDefault="00A65CB4" w:rsidP="00A65CB4">
      <w:pPr>
        <w:jc w:val="both"/>
        <w:rPr>
          <w:rFonts w:ascii="Poppins" w:hAnsi="Poppins" w:cs="Poppins"/>
          <w:color w:val="000000"/>
          <w:sz w:val="20"/>
          <w:szCs w:val="20"/>
          <w:lang w:val="en-GB"/>
        </w:rPr>
      </w:pPr>
      <w:r w:rsidRPr="008B346E">
        <w:rPr>
          <w:rFonts w:ascii="Poppins" w:hAnsi="Poppins" w:cs="Poppins"/>
          <w:color w:val="000000"/>
          <w:sz w:val="20"/>
          <w:szCs w:val="20"/>
          <w:lang w:val="en-GB"/>
        </w:rPr>
        <w:t>Riferimenti: vedere Capitolo 3.1 e 3.3.</w:t>
      </w:r>
    </w:p>
    <w:p w14:paraId="1D8643FD" w14:textId="77777777" w:rsidR="00A65CB4" w:rsidRPr="008B346E" w:rsidRDefault="00A65CB4" w:rsidP="00A65CB4">
      <w:pPr>
        <w:pStyle w:val="Titolo2"/>
        <w:numPr>
          <w:ilvl w:val="1"/>
          <w:numId w:val="1"/>
        </w:numPr>
        <w:tabs>
          <w:tab w:val="num" w:pos="360"/>
        </w:tabs>
        <w:ind w:left="0" w:firstLine="0"/>
        <w:rPr>
          <w:lang w:val="en-GB"/>
        </w:rPr>
      </w:pPr>
      <w:bookmarkStart w:id="37" w:name="_Toc187013379"/>
      <w:bookmarkStart w:id="38" w:name="_Toc188269406"/>
      <w:bookmarkStart w:id="39" w:name="_Toc188282667"/>
      <w:r w:rsidRPr="008B346E">
        <w:rPr>
          <w:lang w:val="en-GB"/>
        </w:rPr>
        <w:t>Turismo dell'argento e turismo geriatrico</w:t>
      </w:r>
      <w:bookmarkEnd w:id="37"/>
      <w:bookmarkEnd w:id="38"/>
      <w:bookmarkEnd w:id="39"/>
    </w:p>
    <w:p w14:paraId="42EAFE94" w14:textId="77777777" w:rsidR="00A65CB4" w:rsidRPr="008B346E" w:rsidRDefault="00A65CB4" w:rsidP="00A65CB4">
      <w:pPr>
        <w:jc w:val="both"/>
        <w:rPr>
          <w:rFonts w:ascii="Poppins" w:hAnsi="Poppins" w:cs="Poppins"/>
          <w:sz w:val="20"/>
          <w:szCs w:val="20"/>
          <w:lang w:val="en-GB"/>
        </w:rPr>
      </w:pPr>
      <w:r w:rsidRPr="008B346E">
        <w:rPr>
          <w:rFonts w:ascii="Poppins" w:hAnsi="Poppins" w:cs="Poppins"/>
          <w:sz w:val="20"/>
          <w:szCs w:val="20"/>
          <w:lang w:val="en-GB"/>
        </w:rPr>
        <w:t>Il Silver Tourism è un settore turistico specificamente rivolto agli anziani, sfruttando il loro maggiore potere d'acquisto e la loro disponibilità di tempo libero. Offre servizi e attività personalizzati in base alle loro esigenze e preferenze, con particolare attenzione al comfort, all'accessibilità e alla fruibilità durante il viaggio. All'interno del settore del Silver Tourism, il Turismo Geriatrico rappresenta una nicchia emergente che, oltre ai servizi turistici tradizionali, include un sistema di supporto a lungo termine progettato per persone con fragilità o multimorbilità. A differenza del turismo medico o sanitario, il Turismo Geriatrico non si concentra sul trattamento, ma sull'assistenza integrata, consentendo alle persone di godere di una vacanza sicura supportata da servizi adatti alle loro specifiche esigenze.</w:t>
      </w:r>
    </w:p>
    <w:p w14:paraId="3100C6BC" w14:textId="6AC46947" w:rsidR="00A65CB4" w:rsidRPr="00A65CB4" w:rsidRDefault="00A65CB4" w:rsidP="00A65CB4">
      <w:pPr>
        <w:jc w:val="both"/>
        <w:rPr>
          <w:rFonts w:ascii="Poppins" w:hAnsi="Poppins" w:cs="Poppins"/>
          <w:color w:val="000000"/>
          <w:sz w:val="20"/>
          <w:szCs w:val="20"/>
          <w:lang w:val="en-GB"/>
        </w:rPr>
      </w:pPr>
      <w:r w:rsidRPr="008B346E">
        <w:rPr>
          <w:rFonts w:ascii="Poppins" w:hAnsi="Poppins" w:cs="Poppins"/>
          <w:sz w:val="20"/>
          <w:szCs w:val="20"/>
          <w:lang w:val="en-GB"/>
        </w:rPr>
        <w:t xml:space="preserve">Riferimenti: Chrysikou et. al (2018); </w:t>
      </w:r>
      <w:r w:rsidRPr="008B346E">
        <w:rPr>
          <w:rFonts w:ascii="Poppins" w:hAnsi="Poppins" w:cs="Poppins"/>
          <w:color w:val="000000"/>
          <w:sz w:val="20"/>
          <w:szCs w:val="20"/>
          <w:lang w:val="en-GB"/>
        </w:rPr>
        <w:t xml:space="preserve">F. Hu, Wen, Phau et al. (2023); </w:t>
      </w:r>
      <w:r w:rsidRPr="008B346E">
        <w:rPr>
          <w:rFonts w:ascii="Poppins" w:hAnsi="Poppins" w:cs="Poppins"/>
          <w:sz w:val="20"/>
          <w:szCs w:val="20"/>
          <w:lang w:val="en-GB"/>
        </w:rPr>
        <w:t xml:space="preserve">Patterson et al. (2021); Cartsara (2018); Zsarnoczky et al. (2016); </w:t>
      </w:r>
      <w:r w:rsidRPr="008B346E">
        <w:rPr>
          <w:rFonts w:ascii="Poppins" w:hAnsi="Poppins" w:cs="Poppins"/>
          <w:color w:val="000000"/>
          <w:sz w:val="20"/>
          <w:szCs w:val="20"/>
          <w:lang w:val="en-GB"/>
        </w:rPr>
        <w:t>vedere il capitolo 4.7.</w:t>
      </w:r>
    </w:p>
    <w:p w14:paraId="05D4F51D" w14:textId="77777777" w:rsidR="00A65CB4" w:rsidRPr="008B346E" w:rsidRDefault="00A65CB4" w:rsidP="00A65CB4">
      <w:pPr>
        <w:pStyle w:val="Titolo2"/>
        <w:numPr>
          <w:ilvl w:val="1"/>
          <w:numId w:val="1"/>
        </w:numPr>
        <w:tabs>
          <w:tab w:val="num" w:pos="360"/>
        </w:tabs>
        <w:ind w:left="0" w:firstLine="0"/>
        <w:rPr>
          <w:lang w:val="en-GB"/>
        </w:rPr>
      </w:pPr>
      <w:bookmarkStart w:id="40" w:name="_Toc187013380"/>
      <w:bookmarkStart w:id="41" w:name="_Toc188269407"/>
      <w:bookmarkStart w:id="42" w:name="_Toc188282668"/>
      <w:r w:rsidRPr="008B346E">
        <w:rPr>
          <w:lang w:val="en-GB"/>
        </w:rPr>
        <w:t>Mentoring inverso</w:t>
      </w:r>
      <w:bookmarkEnd w:id="40"/>
      <w:bookmarkEnd w:id="41"/>
      <w:bookmarkEnd w:id="42"/>
    </w:p>
    <w:p w14:paraId="55CC12B4" w14:textId="77777777" w:rsidR="00A65CB4" w:rsidRPr="008B346E" w:rsidRDefault="00A65CB4" w:rsidP="00A65CB4">
      <w:pPr>
        <w:jc w:val="both"/>
        <w:rPr>
          <w:rFonts w:ascii="Poppins" w:hAnsi="Poppins" w:cs="Poppins"/>
          <w:sz w:val="20"/>
          <w:szCs w:val="20"/>
          <w:lang w:val="en-GB"/>
        </w:rPr>
      </w:pPr>
      <w:r w:rsidRPr="008B346E">
        <w:rPr>
          <w:rFonts w:ascii="Poppins" w:hAnsi="Poppins" w:cs="Poppins"/>
          <w:sz w:val="20"/>
          <w:szCs w:val="20"/>
          <w:lang w:val="en-GB"/>
        </w:rPr>
        <w:t>Il reverse mentoring è un approccio di apprendimento bidirezionale in cui i giovani, sfruttando le proprie competenze tecnologiche, fanno da mentori agli anziani, favorendo le connessioni intergenerazionali e la crescita reciproca. Questa pratica non solo migliora le competenze digitali e la fiducia in se stessi degli anziani, ma affronta anche sfide sociali più ampie come l'isolamento. Abbattendo gli stereotipi legati all'età e incoraggiando un coinvolgimento intergenerazionale significativo, il reverse mentoring crea opportunità di comprensione reciproca e di condivisione di prospettive diverse, a vantaggio sia dei mentori che dei tirocinanti.</w:t>
      </w:r>
    </w:p>
    <w:p w14:paraId="59CA6AEB" w14:textId="0C07ADA6" w:rsidR="00A65CB4" w:rsidRPr="008B346E" w:rsidRDefault="00A65CB4" w:rsidP="00A65CB4">
      <w:pPr>
        <w:jc w:val="both"/>
        <w:rPr>
          <w:rFonts w:ascii="Poppins" w:hAnsi="Poppins" w:cs="Poppins"/>
          <w:color w:val="000000"/>
          <w:sz w:val="20"/>
          <w:szCs w:val="20"/>
          <w:lang w:val="en-GB"/>
        </w:rPr>
      </w:pPr>
      <w:r w:rsidRPr="008B346E">
        <w:rPr>
          <w:rFonts w:ascii="Poppins" w:hAnsi="Poppins" w:cs="Poppins"/>
          <w:color w:val="000000"/>
          <w:sz w:val="20"/>
          <w:szCs w:val="20"/>
          <w:lang w:val="en-GB"/>
        </w:rPr>
        <w:lastRenderedPageBreak/>
        <w:t>Riferimento: Breck et al. (2018).</w:t>
      </w:r>
    </w:p>
    <w:p w14:paraId="4574A412" w14:textId="77777777" w:rsidR="00A65CB4" w:rsidRPr="008B346E" w:rsidRDefault="00A65CB4" w:rsidP="00A65CB4">
      <w:pPr>
        <w:pStyle w:val="Titolo2"/>
        <w:numPr>
          <w:ilvl w:val="1"/>
          <w:numId w:val="1"/>
        </w:numPr>
        <w:tabs>
          <w:tab w:val="num" w:pos="360"/>
        </w:tabs>
        <w:ind w:left="0" w:firstLine="0"/>
        <w:rPr>
          <w:lang w:val="en-GB"/>
        </w:rPr>
      </w:pPr>
      <w:bookmarkStart w:id="43" w:name="_Toc187013381"/>
      <w:bookmarkStart w:id="44" w:name="_Toc188269408"/>
      <w:bookmarkStart w:id="45" w:name="_Toc188282669"/>
      <w:r w:rsidRPr="008B346E">
        <w:rPr>
          <w:lang w:val="en-GB"/>
        </w:rPr>
        <w:t>Economia bianca</w:t>
      </w:r>
      <w:bookmarkEnd w:id="43"/>
      <w:bookmarkEnd w:id="44"/>
      <w:bookmarkEnd w:id="45"/>
    </w:p>
    <w:p w14:paraId="26C71331" w14:textId="77777777" w:rsidR="00A65CB4" w:rsidRPr="008B346E" w:rsidRDefault="00A65CB4" w:rsidP="00A65CB4">
      <w:pPr>
        <w:jc w:val="both"/>
        <w:rPr>
          <w:rFonts w:ascii="Poppins" w:hAnsi="Poppins" w:cs="Poppins"/>
          <w:sz w:val="20"/>
          <w:szCs w:val="20"/>
          <w:lang w:val="en-GB"/>
        </w:rPr>
      </w:pPr>
      <w:r w:rsidRPr="008B346E">
        <w:rPr>
          <w:rFonts w:ascii="Poppins" w:hAnsi="Poppins" w:cs="Poppins"/>
          <w:sz w:val="20"/>
          <w:szCs w:val="20"/>
          <w:lang w:val="en-GB"/>
        </w:rPr>
        <w:t>L'economia bianca comprende un insieme di attività economiche, beni e servizi legati al benessere personale, all'assistenza sanitaria e all'assistenza sociale, con particolare attenzione alle esigenze di assistenza degli anziani e/o delle persone con disabilità. Include settori chiave come i servizi sanitari, l'assistenza domiciliare, le case di cura e le tecnologie mediche. Inoltre, l'economia bianca comprende iniziative di formazione per gli operatori sanitari e lo sviluppo di innovazioni volte a migliorare il benessere e la qualità della vita.</w:t>
      </w:r>
    </w:p>
    <w:p w14:paraId="080AC948" w14:textId="1D9D7F84" w:rsidR="00A65CB4" w:rsidRPr="00A65CB4" w:rsidRDefault="00A65CB4" w:rsidP="00A65CB4">
      <w:pPr>
        <w:jc w:val="both"/>
        <w:rPr>
          <w:rFonts w:ascii="Poppins" w:hAnsi="Poppins" w:cs="Poppins"/>
          <w:color w:val="000000"/>
          <w:sz w:val="20"/>
          <w:szCs w:val="20"/>
          <w:lang w:val="en-GB"/>
        </w:rPr>
      </w:pPr>
      <w:r w:rsidRPr="008B346E">
        <w:rPr>
          <w:rFonts w:ascii="Poppins" w:hAnsi="Poppins" w:cs="Poppins"/>
          <w:color w:val="000000"/>
          <w:sz w:val="20"/>
          <w:szCs w:val="20"/>
          <w:lang w:val="en-GB"/>
        </w:rPr>
        <w:t>Riferimento: OCSE (2015).</w:t>
      </w:r>
    </w:p>
    <w:p w14:paraId="20D881CF" w14:textId="77777777" w:rsidR="00A65CB4" w:rsidRPr="008B346E" w:rsidRDefault="00A65CB4" w:rsidP="00A65CB4">
      <w:pPr>
        <w:pStyle w:val="Titolo2"/>
        <w:numPr>
          <w:ilvl w:val="1"/>
          <w:numId w:val="1"/>
        </w:numPr>
        <w:tabs>
          <w:tab w:val="num" w:pos="360"/>
        </w:tabs>
        <w:ind w:left="0" w:firstLine="0"/>
        <w:rPr>
          <w:lang w:val="en-GB"/>
        </w:rPr>
      </w:pPr>
      <w:bookmarkStart w:id="46" w:name="_Toc187013382"/>
      <w:bookmarkStart w:id="47" w:name="_Toc188269409"/>
      <w:bookmarkStart w:id="48" w:name="_Toc188282670"/>
      <w:r w:rsidRPr="008B346E">
        <w:rPr>
          <w:lang w:val="en-GB"/>
        </w:rPr>
        <w:t>Rischio di longevità</w:t>
      </w:r>
      <w:bookmarkEnd w:id="46"/>
      <w:bookmarkEnd w:id="47"/>
      <w:bookmarkEnd w:id="48"/>
    </w:p>
    <w:p w14:paraId="2CF8B3F3" w14:textId="77777777" w:rsidR="00A65CB4" w:rsidRPr="008B346E" w:rsidRDefault="00A65CB4" w:rsidP="00A65CB4">
      <w:pPr>
        <w:jc w:val="both"/>
        <w:rPr>
          <w:rFonts w:ascii="Poppins" w:hAnsi="Poppins" w:cs="Poppins"/>
          <w:sz w:val="20"/>
          <w:szCs w:val="20"/>
          <w:lang w:val="en-GB"/>
        </w:rPr>
      </w:pPr>
      <w:r w:rsidRPr="008B346E">
        <w:rPr>
          <w:rFonts w:ascii="Poppins" w:hAnsi="Poppins" w:cs="Poppins"/>
          <w:sz w:val="20"/>
          <w:szCs w:val="20"/>
          <w:lang w:val="en-GB"/>
        </w:rPr>
        <w:t>Il rischio di longevità si riferisce all'incertezza che circonda la possibilità che gli individui possano vivere più a lungo di quanto previsto dai modelli demografici e attuariali. Questa maggiore durata della vita aumenta la pressione finanziaria sui sistemi pensionistici e sulle compagnie assicurative, poiché devono erogare prestazioni e pagamenti per periodi più lunghi. Inoltre, comporta un aumento dei costi per i servizi sanitari e di assistenza sociale, complicando ulteriormente la sostenibilità di questi sistemi.</w:t>
      </w:r>
    </w:p>
    <w:p w14:paraId="3FB4E689" w14:textId="3E31A5FF" w:rsidR="00A65CB4" w:rsidRPr="00A65CB4" w:rsidRDefault="00A65CB4" w:rsidP="00A65CB4">
      <w:pPr>
        <w:jc w:val="both"/>
        <w:rPr>
          <w:rFonts w:ascii="Poppins" w:hAnsi="Poppins" w:cs="Poppins"/>
          <w:color w:val="000000"/>
          <w:sz w:val="20"/>
          <w:szCs w:val="20"/>
          <w:lang w:val="en-GB"/>
        </w:rPr>
      </w:pPr>
      <w:r w:rsidRPr="008B346E">
        <w:rPr>
          <w:rFonts w:ascii="Poppins" w:hAnsi="Poppins" w:cs="Poppins"/>
          <w:sz w:val="20"/>
          <w:szCs w:val="20"/>
          <w:lang w:val="en-GB"/>
        </w:rPr>
        <w:t>Riferimenti: De</w:t>
      </w:r>
      <w:r w:rsidRPr="008B346E">
        <w:rPr>
          <w:rFonts w:ascii="Poppins" w:hAnsi="Poppins" w:cs="Poppins"/>
          <w:color w:val="000000"/>
          <w:sz w:val="20"/>
          <w:szCs w:val="20"/>
          <w:lang w:val="en-GB"/>
        </w:rPr>
        <w:t xml:space="preserve"> Waegenaere et al. (2010); Nahal e Ma Beijia (2014); Scognamiglio (2022), Scott (2021).</w:t>
      </w:r>
    </w:p>
    <w:p w14:paraId="19FCE1E6" w14:textId="77777777" w:rsidR="00A65CB4" w:rsidRPr="008B346E" w:rsidRDefault="00A65CB4" w:rsidP="00A65CB4">
      <w:pPr>
        <w:pStyle w:val="Titolo2"/>
        <w:numPr>
          <w:ilvl w:val="1"/>
          <w:numId w:val="1"/>
        </w:numPr>
        <w:tabs>
          <w:tab w:val="num" w:pos="360"/>
        </w:tabs>
        <w:ind w:left="0" w:firstLine="0"/>
        <w:rPr>
          <w:lang w:val="en-GB"/>
        </w:rPr>
      </w:pPr>
      <w:bookmarkStart w:id="49" w:name="_Toc187013383"/>
      <w:bookmarkStart w:id="50" w:name="_Toc188269410"/>
      <w:bookmarkStart w:id="51" w:name="_Toc188282671"/>
      <w:r w:rsidRPr="008B346E">
        <w:rPr>
          <w:lang w:val="en-GB"/>
        </w:rPr>
        <w:t>Lavorabilità</w:t>
      </w:r>
      <w:bookmarkEnd w:id="49"/>
      <w:bookmarkEnd w:id="50"/>
      <w:bookmarkEnd w:id="51"/>
    </w:p>
    <w:p w14:paraId="1572FD03" w14:textId="77777777" w:rsidR="00A65CB4" w:rsidRPr="008B346E" w:rsidRDefault="00A65CB4" w:rsidP="00A65CB4">
      <w:pPr>
        <w:jc w:val="both"/>
        <w:rPr>
          <w:rFonts w:ascii="Poppins" w:hAnsi="Poppins" w:cs="Poppins"/>
          <w:sz w:val="20"/>
          <w:szCs w:val="20"/>
          <w:lang w:val="en-GB"/>
        </w:rPr>
      </w:pPr>
      <w:r w:rsidRPr="008B346E">
        <w:rPr>
          <w:rFonts w:ascii="Poppins" w:hAnsi="Poppins" w:cs="Poppins"/>
          <w:sz w:val="20"/>
          <w:szCs w:val="20"/>
          <w:lang w:val="en-GB"/>
        </w:rPr>
        <w:t xml:space="preserve">La workability si riferisce alla capacità di un individuo di svolgere il proprio lavoro in modo efficace, efficiente e soddisfacente, tenendo conto delle sue condizioni di salute, delle sue competenze, della sua motivazione e delle caratteristiche dell'ambiente di lavoro. Un ambiente di lavoro che promuove la workability è caratterizzato da flessibilità e inclusività, offrendo opportunità che valorizzano le competenze e le esperienze di ogni individuo. Presta inoltre particolare attenzione alle esigenze legate all'età, favorendo adattamenti delle condizioni di lavoro per garantire benessere e produttività durante l'intero arco della vita professionale ( </w:t>
      </w:r>
      <w:r w:rsidRPr="008B346E">
        <w:rPr>
          <w:rFonts w:ascii="Poppins" w:hAnsi="Poppins" w:cs="Poppins"/>
          <w:i/>
          <w:iCs/>
          <w:sz w:val="20"/>
          <w:szCs w:val="20"/>
          <w:lang w:val="en-GB"/>
        </w:rPr>
        <w:t xml:space="preserve">age management </w:t>
      </w:r>
      <w:r w:rsidRPr="008B346E">
        <w:rPr>
          <w:rFonts w:ascii="Poppins" w:hAnsi="Poppins" w:cs="Poppins"/>
          <w:sz w:val="20"/>
          <w:szCs w:val="20"/>
          <w:lang w:val="en-GB"/>
        </w:rPr>
        <w:t>).</w:t>
      </w:r>
    </w:p>
    <w:p w14:paraId="7761285D" w14:textId="77777777" w:rsidR="00A65CB4" w:rsidRPr="008B346E" w:rsidRDefault="00A65CB4" w:rsidP="00A65CB4">
      <w:pPr>
        <w:rPr>
          <w:color w:val="000000"/>
          <w:lang w:val="en-GB"/>
        </w:rPr>
      </w:pPr>
      <w:r w:rsidRPr="008B346E">
        <w:rPr>
          <w:lang w:val="en-GB"/>
        </w:rPr>
        <w:t>Riferimenti: Centro Studi e Ricerche Itinerari Previdenziali (2023); ISTAT (2020).</w:t>
      </w:r>
    </w:p>
    <w:p w14:paraId="6556748A" w14:textId="77777777" w:rsidR="00A65CB4" w:rsidRPr="008B346E" w:rsidRDefault="00A65CB4" w:rsidP="00A65CB4">
      <w:pPr>
        <w:rPr>
          <w:rFonts w:eastAsia="Poppins"/>
          <w:lang w:val="en-GB"/>
        </w:rPr>
      </w:pPr>
    </w:p>
    <w:p w14:paraId="40C1BC9B" w14:textId="77777777" w:rsidR="00A65CB4" w:rsidRPr="008B346E" w:rsidRDefault="00A65CB4" w:rsidP="00A65CB4">
      <w:pPr>
        <w:rPr>
          <w:lang w:val="en-GB"/>
        </w:rPr>
      </w:pPr>
    </w:p>
    <w:p w14:paraId="636D646B" w14:textId="77777777" w:rsidR="00A65CB4" w:rsidRPr="008B346E" w:rsidRDefault="00A65CB4" w:rsidP="00A65CB4">
      <w:pPr>
        <w:rPr>
          <w:lang w:val="en-GB"/>
        </w:rPr>
      </w:pPr>
    </w:p>
    <w:p w14:paraId="76B23C1A" w14:textId="77777777" w:rsidR="00A65CB4" w:rsidRPr="008B346E" w:rsidRDefault="00A65CB4" w:rsidP="00A65CB4">
      <w:pPr>
        <w:rPr>
          <w:lang w:val="en-GB"/>
        </w:rPr>
      </w:pPr>
    </w:p>
    <w:p w14:paraId="1AE480E3" w14:textId="77777777" w:rsidR="00207AB3" w:rsidRPr="007657C5" w:rsidRDefault="00207AB3" w:rsidP="007657C5">
      <w:pPr>
        <w:pStyle w:val="Titolo2"/>
        <w:jc w:val="center"/>
        <w:rPr>
          <w:rFonts w:ascii="Poppins" w:hAnsi="Poppins" w:cs="Poppins"/>
          <w:color w:val="124F1A" w:themeColor="accent3" w:themeShade="BF"/>
          <w:sz w:val="36"/>
          <w:szCs w:val="36"/>
          <w:lang w:val="en-GB"/>
        </w:rPr>
      </w:pPr>
    </w:p>
    <w:sectPr w:rsidR="00207AB3" w:rsidRPr="007657C5">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9B610" w14:textId="77777777" w:rsidR="007F211D" w:rsidRDefault="007F211D" w:rsidP="0079697F">
      <w:r>
        <w:separator/>
      </w:r>
    </w:p>
  </w:endnote>
  <w:endnote w:type="continuationSeparator" w:id="0">
    <w:p w14:paraId="139A8876" w14:textId="77777777" w:rsidR="007F211D" w:rsidRDefault="007F211D" w:rsidP="0079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A4B27" w14:textId="77777777" w:rsidR="007F211D" w:rsidRDefault="007F211D" w:rsidP="0079697F">
      <w:r>
        <w:separator/>
      </w:r>
    </w:p>
  </w:footnote>
  <w:footnote w:type="continuationSeparator" w:id="0">
    <w:p w14:paraId="768FAF6C" w14:textId="77777777" w:rsidR="007F211D" w:rsidRDefault="007F211D" w:rsidP="00796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615D" w14:textId="6B830D7B" w:rsidR="0079697F" w:rsidRDefault="0079697F">
    <w:pPr>
      <w:pStyle w:val="Intestazione"/>
    </w:pPr>
    <w:r>
      <w:rPr>
        <w:noProof/>
      </w:rPr>
      <w:drawing>
        <wp:anchor distT="0" distB="0" distL="114300" distR="114300" simplePos="0" relativeHeight="251659264" behindDoc="0" locked="0" layoutInCell="1" hidden="0" allowOverlap="1" wp14:anchorId="1DA90A4B" wp14:editId="6CEC7A85">
          <wp:simplePos x="0" y="0"/>
          <wp:positionH relativeFrom="page">
            <wp:posOffset>15755</wp:posOffset>
          </wp:positionH>
          <wp:positionV relativeFrom="paragraph">
            <wp:posOffset>-433121</wp:posOffset>
          </wp:positionV>
          <wp:extent cx="7561580" cy="885825"/>
          <wp:effectExtent l="0" t="0" r="1270" b="9525"/>
          <wp:wrapNone/>
          <wp:docPr id="1455172115" name="image1.png" descr="Immagine che contiene testo, schermata,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455172115" name="image1.png" descr="Immagine che contiene testo, schermata, Elementi grafici, logo&#10;&#10;Il contenuto generato dall'IA potrebbe non essere corretto."/>
                  <pic:cNvPicPr preferRelativeResize="0"/>
                </pic:nvPicPr>
                <pic:blipFill>
                  <a:blip r:embed="rId1"/>
                  <a:srcRect/>
                  <a:stretch>
                    <a:fillRect/>
                  </a:stretch>
                </pic:blipFill>
                <pic:spPr>
                  <a:xfrm>
                    <a:off x="0" y="0"/>
                    <a:ext cx="7561580" cy="88582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36CB4A"/>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20906CDF"/>
    <w:multiLevelType w:val="hybridMultilevel"/>
    <w:tmpl w:val="2C203A5E"/>
    <w:lvl w:ilvl="0" w:tplc="A47C9752">
      <w:start w:val="1"/>
      <w:numFmt w:val="bullet"/>
      <w:lvlText w:val=""/>
      <w:lvlJc w:val="left"/>
      <w:pPr>
        <w:tabs>
          <w:tab w:val="num" w:pos="432"/>
        </w:tabs>
        <w:ind w:left="432" w:hanging="432"/>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D12C33"/>
    <w:multiLevelType w:val="hybridMultilevel"/>
    <w:tmpl w:val="C3CE2BF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A0810F7"/>
    <w:multiLevelType w:val="multilevel"/>
    <w:tmpl w:val="03647D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772E68BD"/>
    <w:multiLevelType w:val="multilevel"/>
    <w:tmpl w:val="D63EA9C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num w:numId="1" w16cid:durableId="186449925">
    <w:abstractNumId w:val="4"/>
  </w:num>
  <w:num w:numId="2" w16cid:durableId="1784156693">
    <w:abstractNumId w:val="3"/>
  </w:num>
  <w:num w:numId="3" w16cid:durableId="728652233">
    <w:abstractNumId w:val="0"/>
  </w:num>
  <w:num w:numId="4" w16cid:durableId="830750631">
    <w:abstractNumId w:val="1"/>
  </w:num>
  <w:num w:numId="5" w16cid:durableId="848101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7F"/>
    <w:rsid w:val="00036AF9"/>
    <w:rsid w:val="000B13C7"/>
    <w:rsid w:val="00151460"/>
    <w:rsid w:val="001B0E6D"/>
    <w:rsid w:val="001B3BE3"/>
    <w:rsid w:val="001F2272"/>
    <w:rsid w:val="00207AB3"/>
    <w:rsid w:val="002F6176"/>
    <w:rsid w:val="0040179F"/>
    <w:rsid w:val="00476F02"/>
    <w:rsid w:val="004C207B"/>
    <w:rsid w:val="004F0188"/>
    <w:rsid w:val="005759E8"/>
    <w:rsid w:val="005D01DF"/>
    <w:rsid w:val="00640CE0"/>
    <w:rsid w:val="007271A8"/>
    <w:rsid w:val="007657C5"/>
    <w:rsid w:val="00775CAA"/>
    <w:rsid w:val="007869FB"/>
    <w:rsid w:val="0079697F"/>
    <w:rsid w:val="007C7C9C"/>
    <w:rsid w:val="007F211D"/>
    <w:rsid w:val="00806D9D"/>
    <w:rsid w:val="00854359"/>
    <w:rsid w:val="008D1363"/>
    <w:rsid w:val="008D7BBA"/>
    <w:rsid w:val="009770E2"/>
    <w:rsid w:val="009E1892"/>
    <w:rsid w:val="009E731E"/>
    <w:rsid w:val="00A0407F"/>
    <w:rsid w:val="00A42980"/>
    <w:rsid w:val="00A65CB4"/>
    <w:rsid w:val="00A65CF0"/>
    <w:rsid w:val="00AF1B49"/>
    <w:rsid w:val="00B63973"/>
    <w:rsid w:val="00B72DDC"/>
    <w:rsid w:val="00C72F59"/>
    <w:rsid w:val="00C875F3"/>
    <w:rsid w:val="00CC5476"/>
    <w:rsid w:val="00CF3DA8"/>
    <w:rsid w:val="00D173AF"/>
    <w:rsid w:val="00D42E8F"/>
    <w:rsid w:val="00D45CD0"/>
    <w:rsid w:val="00D57771"/>
    <w:rsid w:val="00DA4184"/>
    <w:rsid w:val="00DA45F1"/>
    <w:rsid w:val="00DB3E72"/>
    <w:rsid w:val="00DD64CA"/>
    <w:rsid w:val="00EB31EA"/>
    <w:rsid w:val="00F12A1B"/>
    <w:rsid w:val="00F35BB5"/>
    <w:rsid w:val="00F55DBB"/>
    <w:rsid w:val="00F6771C"/>
    <w:rsid w:val="00F72983"/>
    <w:rsid w:val="00F81A84"/>
    <w:rsid w:val="00FC0CFC"/>
    <w:rsid w:val="00FF6F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505FA91"/>
  <w15:chartTrackingRefBased/>
  <w15:docId w15:val="{FFF77312-46C4-D045-A2FD-4916CAB2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B3E72"/>
    <w:pPr>
      <w:spacing w:after="160" w:line="259" w:lineRule="auto"/>
    </w:pPr>
    <w:rPr>
      <w:rFonts w:ascii="Calibri" w:eastAsia="Calibri" w:hAnsi="Calibri" w:cs="Calibri"/>
      <w:kern w:val="0"/>
      <w:sz w:val="22"/>
      <w:szCs w:val="22"/>
      <w:lang w:val="it" w:eastAsia="it-IT"/>
      <w14:ligatures w14:val="none"/>
    </w:rPr>
  </w:style>
  <w:style w:type="paragraph" w:styleId="Titolo1">
    <w:name w:val="heading 1"/>
    <w:basedOn w:val="Normale"/>
    <w:next w:val="Normale"/>
    <w:link w:val="Titolo1Carattere"/>
    <w:uiPriority w:val="9"/>
    <w:qFormat/>
    <w:rsid w:val="0079697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unhideWhenUsed/>
    <w:qFormat/>
    <w:rsid w:val="0079697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9697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796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96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96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6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6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6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6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96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96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96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96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96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6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6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6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697F"/>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96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697F"/>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96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697F"/>
    <w:pPr>
      <w:spacing w:before="160" w:line="240"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79697F"/>
    <w:rPr>
      <w:i/>
      <w:iCs/>
      <w:color w:val="404040" w:themeColor="text1" w:themeTint="BF"/>
    </w:rPr>
  </w:style>
  <w:style w:type="paragraph" w:styleId="Paragrafoelenco">
    <w:name w:val="List Paragraph"/>
    <w:basedOn w:val="Normale"/>
    <w:uiPriority w:val="34"/>
    <w:qFormat/>
    <w:rsid w:val="0079697F"/>
    <w:pPr>
      <w:spacing w:after="0" w:line="240"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79697F"/>
    <w:rPr>
      <w:i/>
      <w:iCs/>
      <w:color w:val="0F4761" w:themeColor="accent1" w:themeShade="BF"/>
    </w:rPr>
  </w:style>
  <w:style w:type="paragraph" w:styleId="Citazioneintensa">
    <w:name w:val="Intense Quote"/>
    <w:basedOn w:val="Normale"/>
    <w:next w:val="Normale"/>
    <w:link w:val="CitazioneintensaCarattere"/>
    <w:uiPriority w:val="30"/>
    <w:qFormat/>
    <w:rsid w:val="0079697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9697F"/>
    <w:rPr>
      <w:i/>
      <w:iCs/>
      <w:color w:val="0F4761" w:themeColor="accent1" w:themeShade="BF"/>
    </w:rPr>
  </w:style>
  <w:style w:type="character" w:styleId="Riferimentointenso">
    <w:name w:val="Intense Reference"/>
    <w:basedOn w:val="Carpredefinitoparagrafo"/>
    <w:uiPriority w:val="32"/>
    <w:qFormat/>
    <w:rsid w:val="0079697F"/>
    <w:rPr>
      <w:b/>
      <w:bCs/>
      <w:smallCaps/>
      <w:color w:val="0F4761" w:themeColor="accent1" w:themeShade="BF"/>
      <w:spacing w:val="5"/>
    </w:rPr>
  </w:style>
  <w:style w:type="paragraph" w:styleId="Intestazione">
    <w:name w:val="header"/>
    <w:basedOn w:val="Normale"/>
    <w:link w:val="Intestazione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IntestazioneCarattere">
    <w:name w:val="Intestazione Carattere"/>
    <w:basedOn w:val="Carpredefinitoparagrafo"/>
    <w:link w:val="Intestazione"/>
    <w:uiPriority w:val="99"/>
    <w:rsid w:val="0079697F"/>
  </w:style>
  <w:style w:type="paragraph" w:styleId="Pidipagina">
    <w:name w:val="footer"/>
    <w:basedOn w:val="Normale"/>
    <w:link w:val="PidipaginaCarattere"/>
    <w:uiPriority w:val="99"/>
    <w:unhideWhenUsed/>
    <w:rsid w:val="0079697F"/>
    <w:pPr>
      <w:tabs>
        <w:tab w:val="center" w:pos="4819"/>
        <w:tab w:val="right" w:pos="9638"/>
      </w:tabs>
    </w:pPr>
  </w:style>
  <w:style w:type="character" w:customStyle="1" w:styleId="PidipaginaCarattere">
    <w:name w:val="Piè di pagina Carattere"/>
    <w:basedOn w:val="Carpredefinitoparagrafo"/>
    <w:link w:val="Pidipagina"/>
    <w:uiPriority w:val="99"/>
    <w:rsid w:val="0079697F"/>
  </w:style>
  <w:style w:type="paragraph" w:styleId="Testonotaapidipagina">
    <w:name w:val="footnote text"/>
    <w:basedOn w:val="Normale"/>
    <w:link w:val="TestonotaapidipaginaCarattere"/>
    <w:uiPriority w:val="99"/>
    <w:unhideWhenUsed/>
    <w:rsid w:val="00F6771C"/>
    <w:pPr>
      <w:spacing w:after="0" w:line="240" w:lineRule="auto"/>
      <w:jc w:val="both"/>
    </w:pPr>
    <w:rPr>
      <w:rFonts w:ascii="Times New Roman" w:eastAsiaTheme="minorHAnsi" w:hAnsi="Times New Roman" w:cstheme="minorBidi"/>
      <w:sz w:val="18"/>
      <w:szCs w:val="20"/>
      <w:lang w:eastAsia="ja-JP"/>
    </w:rPr>
  </w:style>
  <w:style w:type="character" w:customStyle="1" w:styleId="TestonotaapidipaginaCarattere">
    <w:name w:val="Testo nota a piè di pagina Carattere"/>
    <w:basedOn w:val="Carpredefinitoparagrafo"/>
    <w:link w:val="Testonotaapidipagina"/>
    <w:uiPriority w:val="99"/>
    <w:rsid w:val="00F6771C"/>
    <w:rPr>
      <w:rFonts w:ascii="Times New Roman" w:hAnsi="Times New Roman"/>
      <w:kern w:val="0"/>
      <w:sz w:val="18"/>
      <w:szCs w:val="20"/>
      <w:lang w:val="it" w:eastAsia="ja-JP"/>
      <w14:ligatures w14:val="none"/>
    </w:rPr>
  </w:style>
  <w:style w:type="character" w:styleId="Rimandonotaapidipagina">
    <w:name w:val="footnote reference"/>
    <w:basedOn w:val="Carpredefinitoparagrafo"/>
    <w:uiPriority w:val="99"/>
    <w:semiHidden/>
    <w:unhideWhenUsed/>
    <w:rsid w:val="00F6771C"/>
    <w:rPr>
      <w:vertAlign w:val="superscript"/>
    </w:rPr>
  </w:style>
  <w:style w:type="table" w:styleId="Grigliatabella">
    <w:name w:val="Table Grid"/>
    <w:basedOn w:val="Tabellanormale"/>
    <w:uiPriority w:val="39"/>
    <w:rsid w:val="000B13C7"/>
    <w:rPr>
      <w:rFonts w:ascii="Calibri" w:eastAsia="Times New Roman" w:hAnsi="Calibri" w:cs="Times New Roman"/>
      <w:kern w:val="0"/>
      <w:sz w:val="20"/>
      <w:szCs w:val="20"/>
      <w:lang w:val="it"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Puntoelenco">
    <w:name w:val="List Bullet"/>
    <w:basedOn w:val="Normale"/>
    <w:uiPriority w:val="9"/>
    <w:qFormat/>
    <w:rsid w:val="000B13C7"/>
    <w:pPr>
      <w:numPr>
        <w:numId w:val="3"/>
      </w:numPr>
      <w:tabs>
        <w:tab w:val="clear" w:pos="360"/>
        <w:tab w:val="num" w:pos="432"/>
      </w:tabs>
      <w:spacing w:before="120" w:after="120" w:line="240" w:lineRule="auto"/>
      <w:ind w:left="0" w:firstLine="0"/>
      <w:contextualSpacing/>
      <w:jc w:val="both"/>
    </w:pPr>
    <w:rPr>
      <w:rFonts w:ascii="Times New Roman" w:eastAsiaTheme="minorHAnsi" w:hAnsi="Times New Roman" w:cstheme="minorBidi"/>
      <w:szCs w:val="30"/>
      <w:lang w:eastAsia="ja-JP"/>
    </w:rPr>
  </w:style>
  <w:style w:type="paragraph" w:styleId="Didascalia">
    <w:name w:val="caption"/>
    <w:basedOn w:val="Normale"/>
    <w:next w:val="Normale"/>
    <w:uiPriority w:val="35"/>
    <w:unhideWhenUsed/>
    <w:qFormat/>
    <w:rsid w:val="000B13C7"/>
    <w:pPr>
      <w:keepNext/>
      <w:spacing w:before="240" w:after="0" w:line="240" w:lineRule="auto"/>
      <w:jc w:val="both"/>
    </w:pPr>
    <w:rPr>
      <w:rFonts w:ascii="Times New Roman" w:eastAsiaTheme="minorHAnsi" w:hAnsi="Times New Roman" w:cstheme="minorBidi"/>
      <w:i/>
      <w:iCs/>
      <w:sz w:val="20"/>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2177</Words>
  <Characters>12411</Characters>
  <Application>Microsoft Office Word</Application>
  <DocSecurity>0</DocSecurity>
  <Lines>103</Lines>
  <Paragraphs>29</Paragraphs>
  <ScaleCrop>false</ScaleCrop>
  <Company/>
  <LinksUpToDate>false</LinksUpToDate>
  <CharactersWithSpaces>14559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corradodecristofaro0@gmail.com</dc:creator>
  <cp:keywords/>
  <dc:description/>
  <cp:lastModifiedBy>corradodecristofaro0@gmail.com</cp:lastModifiedBy>
  <cp:revision>21</cp:revision>
  <dcterms:created xsi:type="dcterms:W3CDTF">2025-09-29T20:31:00Z</dcterms:created>
  <dcterms:modified xsi:type="dcterms:W3CDTF">2025-09-30T07:49:00Z</dcterms:modified>
</cp:coreProperties>
</file>