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97CCF" w14:textId="77777777" w:rsidR="00DD64CA" w:rsidRDefault="00DD64CA" w:rsidP="00DD64CA">
      <w:pPr>
        <w:pStyle w:val="Titolo2"/>
        <w:rPr>
          <w:lang w:val="en-GB"/>
        </w:rPr>
      </w:pPr>
      <w:bookmarkStart w:id="0" w:name="_Toc188282649"/>
    </w:p>
    <w:p w14:paraId="33ABE488" w14:textId="77777777" w:rsidR="00D173AF" w:rsidRDefault="00D173AF" w:rsidP="00D173AF">
      <w:pPr>
        <w:pStyle w:val="Titolo2"/>
        <w:jc w:val="center"/>
        <w:rPr>
          <w:color w:val="124F1A" w:themeColor="accent3" w:themeShade="BF"/>
          <w:sz w:val="36"/>
          <w:szCs w:val="36"/>
          <w:lang w:val="en-GB"/>
        </w:rPr>
      </w:pPr>
      <w:bookmarkStart w:id="1" w:name="_Toc188282651"/>
      <w:bookmarkEnd w:id="0"/>
      <w:r w:rsidRPr="00D173AF">
        <w:rPr>
          <w:color w:val="124F1A" w:themeColor="accent3" w:themeShade="BF"/>
          <w:sz w:val="36"/>
          <w:szCs w:val="36"/>
          <w:lang w:val="en-GB"/>
        </w:rPr>
        <w:t>Lavoro d'argento e imprenditorialità d'argento</w:t>
      </w:r>
      <w:bookmarkEnd w:id="1"/>
    </w:p>
    <w:p w14:paraId="4433DF84" w14:textId="77777777" w:rsidR="00D173AF" w:rsidRPr="00D173AF" w:rsidRDefault="00D173AF" w:rsidP="00D173AF">
      <w:pPr>
        <w:rPr>
          <w:lang w:val="en-GB" w:eastAsia="en-US"/>
        </w:rPr>
      </w:pPr>
    </w:p>
    <w:p w14:paraId="646AF1DF" w14:textId="77777777" w:rsidR="00D173AF" w:rsidRPr="008B346E" w:rsidRDefault="00D173AF" w:rsidP="00D173AF">
      <w:pPr>
        <w:jc w:val="both"/>
        <w:rPr>
          <w:rFonts w:ascii="Poppins" w:hAnsi="Poppins" w:cs="Poppins"/>
          <w:sz w:val="20"/>
          <w:szCs w:val="20"/>
          <w:lang w:val="en-GB"/>
        </w:rPr>
      </w:pPr>
      <w:r w:rsidRPr="008B346E">
        <w:rPr>
          <w:rFonts w:ascii="Poppins" w:hAnsi="Poppins" w:cs="Poppins"/>
          <w:sz w:val="20"/>
          <w:szCs w:val="20"/>
          <w:lang w:val="en-GB"/>
        </w:rPr>
        <w:t>Un esame approfondito della struttura della forza lavoro per condizione occupazionale è fondamentale per comprendere gli effetti dell'invecchiamento demografico sulle dinamiche del mercato del lavoro, sul potenziale economico e innovativo dei lavoratori anziani e sulla sostenibilità dei sistemi pensionistici. Gli indicatori chiave presentati nella Tabella XXX possono essere calcolati per l'intera popolazione o per segmenti specifici, come gli anziani, e ulteriormente disaggregati per genere, settore industriale o altre caratteristiche rilevanti. Grazie ai dati forniti da ISTAT e INPS, l'analisi della partecipazione degli anziani al mercato del lavoro può essere estesa oltre queste scomposizioni standard per includere una serie di caratteristiche occupazionali. I dati aggregati sono disponibili per tipologia di lavoro e tipo di contratto, dimensione aziendale e classificazione ATECO dell'impresa. L'Indagine sulle Forze di Lavoro dell'ISTAT fornisce anche dati sulle retribuzioni orarie nel settore privato, per fascia di età, settore industriale, genere, provincia, livello di istruzione, tipo di contratto, paese di nascita e classe dimensionale dei dipendenti. Ciò consente di calcolare confronti, come il rapporto tra le retribuzioni orarie tra lavoratori sotto i 50 anni e over 50, per qualsiasi sottoinsieme della popolazione. Inoltre, i dati sull'andamento delle pensioni possono essere monitorati attraverso le risorse del Ministero dell'Economia e delle Finanze (MEF) e dell'ISTAT, che forniscono informazioni sui dati relativi alle pensioni a livello comunale e sub-comunale. L'INPS pubblica anche dati a livello regionale sui flussi pensionistici, disaggregati per tipologia di pensione (vecchiaia, prepensionamento, superstiti, invalidità) e categoria amministrativa. Infine, per quanto riguarda l'imprenditorialità d'argento e il lavoro autonomo, i dati del MEF rivelano la quota di nuove registrazioni IVA tra gli individui di età superiore ai 65 anni. L'INPS integra questa informazione classificando i lavoratori autonomi per fascia d'età, genere, tipologia di lavoro, provincia, tipologia di contratto e categoria ATECO.</w:t>
      </w:r>
    </w:p>
    <w:p w14:paraId="75CDE840" w14:textId="77777777" w:rsidR="00D173AF" w:rsidRPr="008B346E" w:rsidRDefault="00D173AF" w:rsidP="00D173AF">
      <w:pPr>
        <w:pStyle w:val="Didascalia"/>
        <w:rPr>
          <w:rFonts w:ascii="Poppins" w:hAnsi="Poppins" w:cs="Poppins"/>
          <w:szCs w:val="20"/>
          <w:lang w:val="en-GB"/>
        </w:rPr>
      </w:pPr>
      <w:r w:rsidRPr="008B346E">
        <w:rPr>
          <w:rFonts w:ascii="Poppins" w:hAnsi="Poppins" w:cs="Poppins"/>
          <w:szCs w:val="20"/>
          <w:lang w:val="en-GB"/>
        </w:rPr>
        <w:t xml:space="preserve">Tabella </w:t>
      </w:r>
      <w:r w:rsidRPr="008B346E">
        <w:rPr>
          <w:rFonts w:ascii="Poppins" w:hAnsi="Poppins" w:cs="Poppins"/>
          <w:noProof/>
          <w:szCs w:val="20"/>
          <w:lang w:val="en-GB"/>
        </w:rPr>
        <w:t xml:space="preserve">14 </w:t>
      </w:r>
      <w:r w:rsidRPr="008B346E">
        <w:rPr>
          <w:rFonts w:ascii="Poppins" w:hAnsi="Poppins" w:cs="Poppins"/>
          <w:szCs w:val="20"/>
          <w:lang w:val="en-GB"/>
        </w:rPr>
        <w:t>– Indicatori Silver labour e Silver imprenditoriality.</w:t>
      </w:r>
    </w:p>
    <w:tbl>
      <w:tblPr>
        <w:tblStyle w:val="Grigliatabella"/>
        <w:tblW w:w="0" w:type="auto"/>
        <w:tblInd w:w="0" w:type="dxa"/>
        <w:tblLook w:val="04A0" w:firstRow="1" w:lastRow="0" w:firstColumn="1" w:lastColumn="0" w:noHBand="0" w:noVBand="1"/>
      </w:tblPr>
      <w:tblGrid>
        <w:gridCol w:w="2893"/>
        <w:gridCol w:w="6735"/>
      </w:tblGrid>
      <w:tr w:rsidR="00D173AF" w:rsidRPr="008B346E" w14:paraId="77F7316D" w14:textId="77777777" w:rsidTr="00B74592">
        <w:tc>
          <w:tcPr>
            <w:tcW w:w="0" w:type="auto"/>
            <w:tcMar>
              <w:left w:w="28" w:type="dxa"/>
              <w:right w:w="28" w:type="dxa"/>
            </w:tcMar>
          </w:tcPr>
          <w:p w14:paraId="7753E332" w14:textId="77777777" w:rsidR="00D173AF" w:rsidRPr="008B346E" w:rsidRDefault="00D173AF" w:rsidP="00B74592">
            <w:pPr>
              <w:jc w:val="both"/>
              <w:rPr>
                <w:rFonts w:ascii="Poppins" w:hAnsi="Poppins" w:cs="Poppins"/>
                <w:b/>
                <w:bCs/>
                <w:lang w:val="en-GB"/>
              </w:rPr>
            </w:pPr>
            <w:r w:rsidRPr="008B346E">
              <w:rPr>
                <w:rFonts w:ascii="Poppins" w:hAnsi="Poppins" w:cs="Poppins"/>
                <w:b/>
                <w:bCs/>
                <w:lang w:val="en-GB"/>
              </w:rPr>
              <w:t>Indicatore o classe di indicatori</w:t>
            </w:r>
          </w:p>
        </w:tc>
        <w:tc>
          <w:tcPr>
            <w:tcW w:w="0" w:type="auto"/>
            <w:tcMar>
              <w:left w:w="28" w:type="dxa"/>
              <w:right w:w="28" w:type="dxa"/>
            </w:tcMar>
          </w:tcPr>
          <w:p w14:paraId="683FF06B" w14:textId="77777777" w:rsidR="00D173AF" w:rsidRPr="008B346E" w:rsidRDefault="00D173AF" w:rsidP="00B74592">
            <w:pPr>
              <w:jc w:val="both"/>
              <w:rPr>
                <w:rFonts w:ascii="Poppins" w:hAnsi="Poppins" w:cs="Poppins"/>
                <w:b/>
                <w:bCs/>
                <w:lang w:val="en-GB"/>
              </w:rPr>
            </w:pPr>
            <w:r w:rsidRPr="008B346E">
              <w:rPr>
                <w:rFonts w:ascii="Poppins" w:hAnsi="Poppins" w:cs="Poppins"/>
                <w:b/>
                <w:bCs/>
                <w:lang w:val="en-GB"/>
              </w:rPr>
              <w:t>Descrizione e fonte</w:t>
            </w:r>
          </w:p>
        </w:tc>
      </w:tr>
      <w:tr w:rsidR="00D173AF" w:rsidRPr="008B346E" w14:paraId="103232F3" w14:textId="77777777" w:rsidTr="00B74592">
        <w:tc>
          <w:tcPr>
            <w:tcW w:w="0" w:type="auto"/>
            <w:gridSpan w:val="2"/>
            <w:tcMar>
              <w:left w:w="28" w:type="dxa"/>
              <w:right w:w="28" w:type="dxa"/>
            </w:tcMar>
          </w:tcPr>
          <w:p w14:paraId="61302CC4" w14:textId="77777777" w:rsidR="00D173AF" w:rsidRPr="008B346E" w:rsidRDefault="00D173AF" w:rsidP="00B74592">
            <w:pPr>
              <w:jc w:val="both"/>
              <w:rPr>
                <w:rFonts w:ascii="Poppins" w:hAnsi="Poppins" w:cs="Poppins"/>
                <w:b/>
                <w:bCs/>
                <w:i/>
                <w:iCs/>
                <w:lang w:val="en-GB"/>
              </w:rPr>
            </w:pPr>
            <w:r w:rsidRPr="008B346E">
              <w:rPr>
                <w:rFonts w:ascii="Poppins" w:hAnsi="Poppins" w:cs="Poppins"/>
                <w:b/>
                <w:bCs/>
                <w:i/>
                <w:iCs/>
                <w:lang w:val="en-GB"/>
              </w:rPr>
              <w:t>Principali indicatori della struttura della forza lavoro</w:t>
            </w:r>
          </w:p>
        </w:tc>
      </w:tr>
      <w:tr w:rsidR="00D173AF" w:rsidRPr="008B346E" w14:paraId="40511736" w14:textId="77777777" w:rsidTr="00B74592">
        <w:tc>
          <w:tcPr>
            <w:tcW w:w="0" w:type="auto"/>
            <w:tcMar>
              <w:left w:w="28" w:type="dxa"/>
              <w:right w:w="28" w:type="dxa"/>
            </w:tcMar>
          </w:tcPr>
          <w:p w14:paraId="70D93C49"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Tasso di attività</w:t>
            </w:r>
          </w:p>
        </w:tc>
        <w:tc>
          <w:tcPr>
            <w:tcW w:w="0" w:type="auto"/>
            <w:tcMar>
              <w:left w:w="28" w:type="dxa"/>
              <w:right w:w="28" w:type="dxa"/>
            </w:tcMar>
          </w:tcPr>
          <w:p w14:paraId="58EABC92" w14:textId="77777777" w:rsidR="00D173AF" w:rsidRPr="008B346E" w:rsidRDefault="00D173AF" w:rsidP="00B74592">
            <w:pPr>
              <w:jc w:val="both"/>
              <w:rPr>
                <w:rFonts w:ascii="Poppins" w:hAnsi="Poppins" w:cs="Poppins"/>
                <w:lang w:val="en-GB"/>
              </w:rPr>
            </w:pPr>
            <w:r w:rsidRPr="008B346E">
              <w:rPr>
                <w:rFonts w:ascii="Poppins" w:hAnsi="Poppins" w:cs="Poppins"/>
                <w:lang w:val="en-GB"/>
              </w:rPr>
              <w:t>Rapporto percentuale tra individui appartenenti alla forza lavoro, occupati e disoccupati. Fonte: EU-LFS.</w:t>
            </w:r>
          </w:p>
        </w:tc>
      </w:tr>
      <w:tr w:rsidR="00D173AF" w:rsidRPr="008B346E" w14:paraId="6B917233" w14:textId="77777777" w:rsidTr="00B74592">
        <w:tc>
          <w:tcPr>
            <w:tcW w:w="0" w:type="auto"/>
            <w:tcMar>
              <w:left w:w="28" w:type="dxa"/>
              <w:right w:w="28" w:type="dxa"/>
            </w:tcMar>
          </w:tcPr>
          <w:p w14:paraId="01F45B39"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Tasso di inattività</w:t>
            </w:r>
          </w:p>
        </w:tc>
        <w:tc>
          <w:tcPr>
            <w:tcW w:w="0" w:type="auto"/>
            <w:tcMar>
              <w:left w:w="28" w:type="dxa"/>
              <w:right w:w="28" w:type="dxa"/>
            </w:tcMar>
          </w:tcPr>
          <w:p w14:paraId="165C3CB4" w14:textId="77777777" w:rsidR="00D173AF" w:rsidRPr="008B346E" w:rsidRDefault="00D173AF" w:rsidP="00B74592">
            <w:pPr>
              <w:jc w:val="both"/>
              <w:rPr>
                <w:rFonts w:ascii="Poppins" w:hAnsi="Poppins" w:cs="Poppins"/>
                <w:lang w:val="en-GB"/>
              </w:rPr>
            </w:pPr>
            <w:r w:rsidRPr="008B346E">
              <w:rPr>
                <w:rFonts w:ascii="Poppins" w:hAnsi="Poppins" w:cs="Poppins"/>
                <w:lang w:val="en-GB"/>
              </w:rPr>
              <w:t>La quota della popolazione che non è occupata né cerca attivamente un impiego. Fonte: EU-LFS.</w:t>
            </w:r>
          </w:p>
        </w:tc>
      </w:tr>
      <w:tr w:rsidR="00D173AF" w:rsidRPr="008B346E" w14:paraId="36552253" w14:textId="77777777" w:rsidTr="00B74592">
        <w:tc>
          <w:tcPr>
            <w:tcW w:w="0" w:type="auto"/>
            <w:tcMar>
              <w:left w:w="28" w:type="dxa"/>
              <w:right w:w="28" w:type="dxa"/>
            </w:tcMar>
          </w:tcPr>
          <w:p w14:paraId="45D6F0D5"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Tasso di occupazione</w:t>
            </w:r>
          </w:p>
        </w:tc>
        <w:tc>
          <w:tcPr>
            <w:tcW w:w="0" w:type="auto"/>
            <w:tcMar>
              <w:left w:w="28" w:type="dxa"/>
              <w:right w:w="28" w:type="dxa"/>
            </w:tcMar>
          </w:tcPr>
          <w:p w14:paraId="61E20134" w14:textId="77777777" w:rsidR="00D173AF" w:rsidRPr="008B346E" w:rsidRDefault="00D173AF" w:rsidP="00B74592">
            <w:pPr>
              <w:jc w:val="both"/>
              <w:rPr>
                <w:rFonts w:ascii="Poppins" w:hAnsi="Poppins" w:cs="Poppins"/>
                <w:lang w:val="en-GB"/>
              </w:rPr>
            </w:pPr>
            <w:r w:rsidRPr="008B346E">
              <w:rPr>
                <w:rFonts w:ascii="Poppins" w:hAnsi="Poppins" w:cs="Poppins"/>
                <w:lang w:val="en-GB"/>
              </w:rPr>
              <w:t>Rapporto percentuale tra gli occupati (di una specifica fascia d'età) e la popolazione residente totale (della stessa fascia d'età). Fonte: EU-LFS.</w:t>
            </w:r>
          </w:p>
        </w:tc>
      </w:tr>
      <w:tr w:rsidR="00D173AF" w:rsidRPr="008B346E" w14:paraId="1AFDA475" w14:textId="77777777" w:rsidTr="00B74592">
        <w:tc>
          <w:tcPr>
            <w:tcW w:w="0" w:type="auto"/>
            <w:tcMar>
              <w:left w:w="28" w:type="dxa"/>
              <w:right w:w="28" w:type="dxa"/>
            </w:tcMar>
          </w:tcPr>
          <w:p w14:paraId="7B129C58"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lastRenderedPageBreak/>
              <w:t>tasso di disoccupazione</w:t>
            </w:r>
          </w:p>
        </w:tc>
        <w:tc>
          <w:tcPr>
            <w:tcW w:w="0" w:type="auto"/>
            <w:tcMar>
              <w:left w:w="28" w:type="dxa"/>
              <w:right w:w="28" w:type="dxa"/>
            </w:tcMar>
          </w:tcPr>
          <w:p w14:paraId="1404E624" w14:textId="77777777" w:rsidR="00D173AF" w:rsidRPr="008B346E" w:rsidRDefault="00D173AF" w:rsidP="00B74592">
            <w:pPr>
              <w:jc w:val="both"/>
              <w:rPr>
                <w:rFonts w:ascii="Poppins" w:hAnsi="Poppins" w:cs="Poppins"/>
                <w:lang w:val="en-GB"/>
              </w:rPr>
            </w:pPr>
            <w:r w:rsidRPr="008B346E">
              <w:rPr>
                <w:rFonts w:ascii="Poppins" w:hAnsi="Poppins" w:cs="Poppins"/>
                <w:lang w:val="en-GB"/>
              </w:rPr>
              <w:t>Rapporto percentuale tra gli individui nella forza lavoro che cercano attivamente lavoro ma sono attualmente disoccupati e la popolazione residente totale (per fascia d'età). Fonte: EU-LFS.</w:t>
            </w:r>
          </w:p>
        </w:tc>
      </w:tr>
      <w:tr w:rsidR="00D173AF" w:rsidRPr="008B346E" w14:paraId="19F1A6B3" w14:textId="77777777" w:rsidTr="00B74592">
        <w:tc>
          <w:tcPr>
            <w:tcW w:w="0" w:type="auto"/>
            <w:tcMar>
              <w:left w:w="28" w:type="dxa"/>
              <w:right w:w="28" w:type="dxa"/>
            </w:tcMar>
          </w:tcPr>
          <w:p w14:paraId="0F9AEAE2"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Rapporto di equilibrio intergenerazionale</w:t>
            </w:r>
          </w:p>
        </w:tc>
        <w:tc>
          <w:tcPr>
            <w:tcW w:w="0" w:type="auto"/>
            <w:tcMar>
              <w:left w:w="28" w:type="dxa"/>
              <w:right w:w="28" w:type="dxa"/>
            </w:tcMar>
          </w:tcPr>
          <w:p w14:paraId="4531936D" w14:textId="77777777" w:rsidR="00D173AF" w:rsidRPr="008B346E" w:rsidRDefault="00D173AF" w:rsidP="00B74592">
            <w:pPr>
              <w:jc w:val="both"/>
              <w:rPr>
                <w:rFonts w:ascii="Poppins" w:hAnsi="Poppins" w:cs="Poppins"/>
                <w:lang w:val="en-GB"/>
              </w:rPr>
            </w:pPr>
            <w:r w:rsidRPr="008B346E">
              <w:rPr>
                <w:rFonts w:ascii="Poppins" w:hAnsi="Poppins" w:cs="Poppins"/>
                <w:lang w:val="en-GB"/>
              </w:rPr>
              <w:t>Rapporto percentuale tra la popolazione di età compresa tra 60 e 64 anni e quella di età compresa tra 15 e 19 anni, che evidenzia l'equilibrio tra gli anziani prossimi alla pensione e i giovani che entrano nel mondo del lavoro. Fonte: Istat -P&amp;H.</w:t>
            </w:r>
          </w:p>
        </w:tc>
      </w:tr>
      <w:tr w:rsidR="00D173AF" w:rsidRPr="008B346E" w14:paraId="1F6CA7CA" w14:textId="77777777" w:rsidTr="00B74592">
        <w:tc>
          <w:tcPr>
            <w:tcW w:w="0" w:type="auto"/>
            <w:tcMar>
              <w:left w:w="28" w:type="dxa"/>
              <w:right w:w="28" w:type="dxa"/>
            </w:tcMar>
          </w:tcPr>
          <w:p w14:paraId="6694DC4B"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Rapporto di dipendenza reale degli anziani (REDR)</w:t>
            </w:r>
          </w:p>
        </w:tc>
        <w:tc>
          <w:tcPr>
            <w:tcW w:w="0" w:type="auto"/>
            <w:tcMar>
              <w:left w:w="28" w:type="dxa"/>
              <w:right w:w="28" w:type="dxa"/>
            </w:tcMar>
          </w:tcPr>
          <w:p w14:paraId="77D41D15" w14:textId="77777777" w:rsidR="00D173AF" w:rsidRPr="008B346E" w:rsidRDefault="00D173AF" w:rsidP="00B74592">
            <w:pPr>
              <w:jc w:val="both"/>
              <w:rPr>
                <w:rFonts w:ascii="Poppins" w:hAnsi="Poppins" w:cs="Poppins"/>
                <w:lang w:val="en-GB"/>
              </w:rPr>
            </w:pPr>
            <w:r w:rsidRPr="008B346E">
              <w:rPr>
                <w:rFonts w:ascii="Poppins" w:hAnsi="Poppins" w:cs="Poppins"/>
                <w:lang w:val="en-GB"/>
              </w:rPr>
              <w:t xml:space="preserve">Popolazione con RLE15– rispetto alla popolazione con un impiego retribuito. Riferimento: </w:t>
            </w:r>
            <w:r w:rsidRPr="008B346E">
              <w:rPr>
                <w:rFonts w:ascii="Poppins" w:hAnsi="Poppins" w:cs="Poppins"/>
                <w:color w:val="000000"/>
                <w:lang w:val="en-GB"/>
              </w:rPr>
              <w:t xml:space="preserve">Spijker &amp; MacInnes (2013). Fonte: </w:t>
            </w:r>
            <w:r w:rsidRPr="008B346E">
              <w:rPr>
                <w:rFonts w:ascii="Poppins" w:hAnsi="Poppins" w:cs="Poppins"/>
                <w:lang w:val="en-GB"/>
              </w:rPr>
              <w:t>Istat &amp; Eurostat, tavole di mortalità; UE-LFS</w:t>
            </w:r>
          </w:p>
        </w:tc>
      </w:tr>
      <w:tr w:rsidR="00D173AF" w:rsidRPr="008B346E" w14:paraId="29B30498" w14:textId="77777777" w:rsidTr="00B74592">
        <w:tc>
          <w:tcPr>
            <w:tcW w:w="0" w:type="auto"/>
            <w:tcMar>
              <w:left w:w="28" w:type="dxa"/>
              <w:right w:w="28" w:type="dxa"/>
            </w:tcMar>
          </w:tcPr>
          <w:p w14:paraId="266DBF49"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Durata della vita lavorativa</w:t>
            </w:r>
          </w:p>
        </w:tc>
        <w:tc>
          <w:tcPr>
            <w:tcW w:w="0" w:type="auto"/>
            <w:tcMar>
              <w:left w:w="28" w:type="dxa"/>
              <w:right w:w="28" w:type="dxa"/>
            </w:tcMar>
          </w:tcPr>
          <w:p w14:paraId="5B501142" w14:textId="77777777" w:rsidR="00D173AF" w:rsidRPr="008B346E" w:rsidRDefault="00D173AF" w:rsidP="00B74592">
            <w:pPr>
              <w:jc w:val="both"/>
              <w:rPr>
                <w:rFonts w:ascii="Poppins" w:hAnsi="Poppins" w:cs="Poppins"/>
                <w:lang w:val="en-GB"/>
              </w:rPr>
            </w:pPr>
            <w:r w:rsidRPr="008B346E">
              <w:rPr>
                <w:rFonts w:ascii="Poppins" w:hAnsi="Poppins" w:cs="Poppins"/>
                <w:lang w:val="en-GB"/>
              </w:rPr>
              <w:t>Numero di anni in cui una persona di 15 anni dovrebbe essere attiva nel mercato del lavoro nel corso della sua vita. Fonte: EU-LFS.</w:t>
            </w:r>
          </w:p>
        </w:tc>
      </w:tr>
      <w:tr w:rsidR="00D173AF" w:rsidRPr="008B346E" w14:paraId="2038825D" w14:textId="77777777" w:rsidTr="00B74592">
        <w:tc>
          <w:tcPr>
            <w:tcW w:w="0" w:type="auto"/>
            <w:gridSpan w:val="2"/>
            <w:tcMar>
              <w:left w:w="28" w:type="dxa"/>
              <w:right w:w="28" w:type="dxa"/>
            </w:tcMar>
          </w:tcPr>
          <w:p w14:paraId="53C3F91C" w14:textId="77777777" w:rsidR="00D173AF" w:rsidRPr="008B346E" w:rsidRDefault="00D173AF" w:rsidP="00B74592">
            <w:pPr>
              <w:jc w:val="both"/>
              <w:rPr>
                <w:rFonts w:ascii="Poppins" w:hAnsi="Poppins" w:cs="Poppins"/>
                <w:lang w:val="en-GB"/>
              </w:rPr>
            </w:pPr>
            <w:r w:rsidRPr="008B346E">
              <w:rPr>
                <w:rFonts w:ascii="Poppins" w:hAnsi="Poppins" w:cs="Poppins"/>
                <w:b/>
                <w:bCs/>
                <w:i/>
                <w:iCs/>
                <w:lang w:val="en-GB"/>
              </w:rPr>
              <w:t xml:space="preserve">Dimensione: condizione lavorativa </w:t>
            </w:r>
            <w:r w:rsidRPr="008B346E">
              <w:rPr>
                <w:rFonts w:ascii="Poppins" w:hAnsi="Poppins" w:cs="Poppins"/>
                <w:lang w:val="en-GB"/>
              </w:rPr>
              <w:t>(per fascia d'età, genere, settore economico, ecc.)</w:t>
            </w:r>
          </w:p>
        </w:tc>
      </w:tr>
      <w:tr w:rsidR="00D173AF" w:rsidRPr="008B346E" w14:paraId="50E8BC4F" w14:textId="77777777" w:rsidTr="00B74592">
        <w:tc>
          <w:tcPr>
            <w:tcW w:w="0" w:type="auto"/>
            <w:tcMar>
              <w:left w:w="28" w:type="dxa"/>
              <w:right w:w="28" w:type="dxa"/>
            </w:tcMar>
          </w:tcPr>
          <w:p w14:paraId="32EDDF6F"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Tasso di occupazione part-time</w:t>
            </w:r>
          </w:p>
        </w:tc>
        <w:tc>
          <w:tcPr>
            <w:tcW w:w="0" w:type="auto"/>
            <w:tcMar>
              <w:left w:w="28" w:type="dxa"/>
              <w:right w:w="28" w:type="dxa"/>
            </w:tcMar>
          </w:tcPr>
          <w:p w14:paraId="6AA18142" w14:textId="77777777" w:rsidR="00D173AF" w:rsidRPr="008B346E" w:rsidRDefault="00D173AF" w:rsidP="00B74592">
            <w:pPr>
              <w:jc w:val="both"/>
              <w:rPr>
                <w:rFonts w:ascii="Poppins" w:hAnsi="Poppins" w:cs="Poppins"/>
                <w:lang w:val="en-GB"/>
              </w:rPr>
            </w:pPr>
            <w:r w:rsidRPr="008B346E">
              <w:rPr>
                <w:rFonts w:ascii="Poppins" w:hAnsi="Poppins" w:cs="Poppins"/>
                <w:lang w:val="en-GB"/>
              </w:rPr>
              <w:t>Quota di occupazione part-time sull'occupazione totale. Fonte: EU-LFS.</w:t>
            </w:r>
          </w:p>
        </w:tc>
      </w:tr>
      <w:tr w:rsidR="00D173AF" w:rsidRPr="008B346E" w14:paraId="4C2E9451" w14:textId="77777777" w:rsidTr="00B74592">
        <w:tc>
          <w:tcPr>
            <w:tcW w:w="0" w:type="auto"/>
            <w:tcMar>
              <w:left w:w="28" w:type="dxa"/>
              <w:right w:w="28" w:type="dxa"/>
            </w:tcMar>
          </w:tcPr>
          <w:p w14:paraId="0B8CFBCB"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Tasso di lavoro autonomo</w:t>
            </w:r>
          </w:p>
        </w:tc>
        <w:tc>
          <w:tcPr>
            <w:tcW w:w="0" w:type="auto"/>
            <w:tcMar>
              <w:left w:w="28" w:type="dxa"/>
              <w:right w:w="28" w:type="dxa"/>
            </w:tcMar>
          </w:tcPr>
          <w:p w14:paraId="3AA44D19" w14:textId="77777777" w:rsidR="00D173AF" w:rsidRPr="008B346E" w:rsidRDefault="00D173AF" w:rsidP="00B74592">
            <w:pPr>
              <w:jc w:val="both"/>
              <w:rPr>
                <w:rFonts w:ascii="Poppins" w:hAnsi="Poppins" w:cs="Poppins"/>
                <w:lang w:val="en-GB"/>
              </w:rPr>
            </w:pPr>
            <w:r w:rsidRPr="008B346E">
              <w:rPr>
                <w:rFonts w:ascii="Poppins" w:hAnsi="Poppins" w:cs="Poppins"/>
                <w:lang w:val="en-GB"/>
              </w:rPr>
              <w:t>Quota di lavoro autonomo sull'occupazione totale. Fonte: EU-LFS, MEF-VAT, INPS-SE.</w:t>
            </w:r>
          </w:p>
        </w:tc>
      </w:tr>
      <w:tr w:rsidR="00D173AF" w:rsidRPr="008B346E" w14:paraId="74247BB2" w14:textId="77777777" w:rsidTr="00B74592">
        <w:tc>
          <w:tcPr>
            <w:tcW w:w="0" w:type="auto"/>
            <w:tcMar>
              <w:left w:w="28" w:type="dxa"/>
              <w:right w:w="28" w:type="dxa"/>
            </w:tcMar>
          </w:tcPr>
          <w:p w14:paraId="31FCD845"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Tariffa per lavorare da casa</w:t>
            </w:r>
          </w:p>
        </w:tc>
        <w:tc>
          <w:tcPr>
            <w:tcW w:w="0" w:type="auto"/>
            <w:tcMar>
              <w:left w:w="28" w:type="dxa"/>
              <w:right w:w="28" w:type="dxa"/>
            </w:tcMar>
          </w:tcPr>
          <w:p w14:paraId="4C0197AC" w14:textId="77777777" w:rsidR="00D173AF" w:rsidRPr="008B346E" w:rsidRDefault="00D173AF" w:rsidP="00B74592">
            <w:pPr>
              <w:jc w:val="both"/>
              <w:rPr>
                <w:rFonts w:ascii="Poppins" w:hAnsi="Poppins" w:cs="Poppins"/>
                <w:lang w:val="en-GB"/>
              </w:rPr>
            </w:pPr>
            <w:r w:rsidRPr="008B346E">
              <w:rPr>
                <w:rFonts w:ascii="Poppins" w:hAnsi="Poppins" w:cs="Poppins"/>
                <w:lang w:val="en-GB"/>
              </w:rPr>
              <w:t>Percentuale di individui che lavorano da casa sul totale degli occupati. Fonte: EU-LFS.</w:t>
            </w:r>
          </w:p>
        </w:tc>
      </w:tr>
      <w:tr w:rsidR="00D173AF" w:rsidRPr="008B346E" w14:paraId="3525ED1B" w14:textId="77777777" w:rsidTr="00B74592">
        <w:tc>
          <w:tcPr>
            <w:tcW w:w="0" w:type="auto"/>
            <w:tcMar>
              <w:left w:w="28" w:type="dxa"/>
              <w:right w:w="28" w:type="dxa"/>
            </w:tcMar>
          </w:tcPr>
          <w:p w14:paraId="36AA502E"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Orario settimanale usuale</w:t>
            </w:r>
          </w:p>
        </w:tc>
        <w:tc>
          <w:tcPr>
            <w:tcW w:w="0" w:type="auto"/>
            <w:tcMar>
              <w:left w:w="28" w:type="dxa"/>
              <w:right w:w="28" w:type="dxa"/>
            </w:tcMar>
          </w:tcPr>
          <w:p w14:paraId="3ED2B992" w14:textId="77777777" w:rsidR="00D173AF" w:rsidRPr="008B346E" w:rsidRDefault="00D173AF" w:rsidP="00B74592">
            <w:pPr>
              <w:jc w:val="both"/>
              <w:rPr>
                <w:rFonts w:ascii="Poppins" w:hAnsi="Poppins" w:cs="Poppins"/>
                <w:lang w:val="en-GB"/>
              </w:rPr>
            </w:pPr>
            <w:r w:rsidRPr="008B346E">
              <w:rPr>
                <w:rFonts w:ascii="Poppins" w:hAnsi="Poppins" w:cs="Poppins"/>
                <w:lang w:val="en-GB"/>
              </w:rPr>
              <w:t>Numero medio di ore lavorate settimanalmente da un individuo nel suo lavoro principale (per fascia d'età, genere, settore, ecc.). Fonte: EU-LFS.</w:t>
            </w:r>
          </w:p>
        </w:tc>
      </w:tr>
      <w:tr w:rsidR="00D173AF" w:rsidRPr="008B346E" w14:paraId="4BBE1B7E" w14:textId="77777777" w:rsidTr="00B74592">
        <w:tc>
          <w:tcPr>
            <w:tcW w:w="0" w:type="auto"/>
            <w:tcMar>
              <w:left w:w="28" w:type="dxa"/>
              <w:right w:w="28" w:type="dxa"/>
            </w:tcMar>
          </w:tcPr>
          <w:p w14:paraId="0B060133"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Soddisfazione lavorativa</w:t>
            </w:r>
          </w:p>
        </w:tc>
        <w:tc>
          <w:tcPr>
            <w:tcW w:w="0" w:type="auto"/>
            <w:tcMar>
              <w:left w:w="28" w:type="dxa"/>
              <w:right w:w="28" w:type="dxa"/>
            </w:tcMar>
          </w:tcPr>
          <w:p w14:paraId="0068B395" w14:textId="77777777" w:rsidR="00D173AF" w:rsidRPr="008B346E" w:rsidRDefault="00D173AF" w:rsidP="00B74592">
            <w:pPr>
              <w:jc w:val="both"/>
              <w:rPr>
                <w:rFonts w:ascii="Poppins" w:hAnsi="Poppins" w:cs="Poppins"/>
                <w:lang w:val="en-GB"/>
              </w:rPr>
            </w:pPr>
            <w:r w:rsidRPr="008B346E">
              <w:rPr>
                <w:rFonts w:ascii="Poppins" w:hAnsi="Poppins" w:cs="Poppins"/>
                <w:lang w:val="en-GB"/>
              </w:rPr>
              <w:t>Fonte: EU-LFS.</w:t>
            </w:r>
          </w:p>
        </w:tc>
      </w:tr>
      <w:tr w:rsidR="00D173AF" w:rsidRPr="008B346E" w14:paraId="537B66AC" w14:textId="77777777" w:rsidTr="00B74592">
        <w:tc>
          <w:tcPr>
            <w:tcW w:w="0" w:type="auto"/>
            <w:tcMar>
              <w:left w:w="28" w:type="dxa"/>
              <w:right w:w="28" w:type="dxa"/>
            </w:tcMar>
          </w:tcPr>
          <w:p w14:paraId="57318BBD"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Incidenti sul lavoro</w:t>
            </w:r>
          </w:p>
        </w:tc>
        <w:tc>
          <w:tcPr>
            <w:tcW w:w="0" w:type="auto"/>
            <w:tcMar>
              <w:left w:w="28" w:type="dxa"/>
              <w:right w:w="28" w:type="dxa"/>
            </w:tcMar>
          </w:tcPr>
          <w:p w14:paraId="22CAA728" w14:textId="77777777" w:rsidR="00D173AF" w:rsidRPr="008B346E" w:rsidRDefault="00D173AF" w:rsidP="00B74592">
            <w:pPr>
              <w:jc w:val="both"/>
              <w:rPr>
                <w:rFonts w:ascii="Poppins" w:hAnsi="Poppins" w:cs="Poppins"/>
                <w:lang w:val="en-GB"/>
              </w:rPr>
            </w:pPr>
            <w:r w:rsidRPr="008B346E">
              <w:rPr>
                <w:rFonts w:ascii="Poppins" w:hAnsi="Poppins" w:cs="Poppins"/>
                <w:lang w:val="en-GB"/>
              </w:rPr>
              <w:t>Percentuale di infortuni in base all'età e alla durata dell'incapacità (periodo di assenza dal lavoro). Fonte: EU-LFS.</w:t>
            </w:r>
          </w:p>
        </w:tc>
      </w:tr>
      <w:tr w:rsidR="00D173AF" w:rsidRPr="008B346E" w14:paraId="75546956" w14:textId="77777777" w:rsidTr="00B74592">
        <w:tc>
          <w:tcPr>
            <w:tcW w:w="0" w:type="auto"/>
            <w:gridSpan w:val="2"/>
            <w:tcMar>
              <w:left w:w="28" w:type="dxa"/>
              <w:right w:w="28" w:type="dxa"/>
            </w:tcMar>
          </w:tcPr>
          <w:p w14:paraId="401EB6B7" w14:textId="77777777" w:rsidR="00D173AF" w:rsidRPr="008B346E" w:rsidRDefault="00D173AF" w:rsidP="00B74592">
            <w:pPr>
              <w:jc w:val="both"/>
              <w:rPr>
                <w:rFonts w:ascii="Poppins" w:hAnsi="Poppins" w:cs="Poppins"/>
                <w:lang w:val="en-GB"/>
              </w:rPr>
            </w:pPr>
            <w:r w:rsidRPr="008B346E">
              <w:rPr>
                <w:rFonts w:ascii="Poppins" w:hAnsi="Poppins" w:cs="Poppins"/>
                <w:b/>
                <w:bCs/>
                <w:lang w:val="en-GB"/>
              </w:rPr>
              <w:t xml:space="preserve">Dimensione: </w:t>
            </w:r>
            <w:r w:rsidRPr="008B346E">
              <w:rPr>
                <w:rFonts w:ascii="Poppins" w:hAnsi="Poppins" w:cs="Poppins"/>
                <w:b/>
                <w:bCs/>
                <w:i/>
                <w:iCs/>
                <w:lang w:val="en-GB"/>
              </w:rPr>
              <w:t>pensionamenti</w:t>
            </w:r>
          </w:p>
        </w:tc>
      </w:tr>
      <w:tr w:rsidR="00D173AF" w:rsidRPr="008B346E" w14:paraId="73C51EA8" w14:textId="77777777" w:rsidTr="00B74592">
        <w:tc>
          <w:tcPr>
            <w:tcW w:w="0" w:type="auto"/>
            <w:tcMar>
              <w:left w:w="28" w:type="dxa"/>
              <w:right w:w="28" w:type="dxa"/>
            </w:tcMar>
          </w:tcPr>
          <w:p w14:paraId="425A06CC" w14:textId="77777777" w:rsidR="00D173AF" w:rsidRPr="008B346E" w:rsidRDefault="00D173AF" w:rsidP="00B74592">
            <w:pPr>
              <w:jc w:val="both"/>
              <w:rPr>
                <w:rFonts w:ascii="Poppins" w:hAnsi="Poppins" w:cs="Poppins"/>
                <w:b/>
                <w:bCs/>
                <w:lang w:val="en-GB"/>
              </w:rPr>
            </w:pPr>
            <w:r w:rsidRPr="008B346E">
              <w:rPr>
                <w:rFonts w:ascii="Poppins" w:hAnsi="Poppins" w:cs="Poppins"/>
                <w:i/>
                <w:iCs/>
                <w:lang w:val="en-GB"/>
              </w:rPr>
              <w:t>Percentuale di pensionati</w:t>
            </w:r>
          </w:p>
        </w:tc>
        <w:tc>
          <w:tcPr>
            <w:tcW w:w="0" w:type="auto"/>
            <w:tcMar>
              <w:left w:w="28" w:type="dxa"/>
              <w:right w:w="28" w:type="dxa"/>
            </w:tcMar>
          </w:tcPr>
          <w:p w14:paraId="12C39202" w14:textId="77777777" w:rsidR="00D173AF" w:rsidRPr="008B346E" w:rsidRDefault="00D173AF" w:rsidP="00B74592">
            <w:pPr>
              <w:jc w:val="both"/>
              <w:rPr>
                <w:rFonts w:ascii="Poppins" w:hAnsi="Poppins" w:cs="Poppins"/>
                <w:lang w:val="en-GB"/>
              </w:rPr>
            </w:pPr>
            <w:r w:rsidRPr="008B346E">
              <w:rPr>
                <w:rFonts w:ascii="Poppins" w:hAnsi="Poppins" w:cs="Poppins"/>
                <w:lang w:val="en-GB"/>
              </w:rPr>
              <w:t>Percentuale di pensionati per età e tipologia di pensione (anzianità, vecchiaia, prepensionamento, invalidità e superstiti). Fonte: CRPens , EU-LFS.</w:t>
            </w:r>
          </w:p>
        </w:tc>
      </w:tr>
      <w:tr w:rsidR="00D173AF" w:rsidRPr="008B346E" w14:paraId="663F75EA" w14:textId="77777777" w:rsidTr="00B74592">
        <w:tc>
          <w:tcPr>
            <w:tcW w:w="0" w:type="auto"/>
            <w:tcMar>
              <w:left w:w="28" w:type="dxa"/>
              <w:right w:w="28" w:type="dxa"/>
            </w:tcMar>
          </w:tcPr>
          <w:p w14:paraId="6C35FB41"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Rapporto pensionati-lavoratori (PWR)</w:t>
            </w:r>
          </w:p>
        </w:tc>
        <w:tc>
          <w:tcPr>
            <w:tcW w:w="0" w:type="auto"/>
            <w:tcMar>
              <w:left w:w="28" w:type="dxa"/>
              <w:right w:w="28" w:type="dxa"/>
            </w:tcMar>
          </w:tcPr>
          <w:p w14:paraId="6DF4DFED" w14:textId="77777777" w:rsidR="00D173AF" w:rsidRPr="008B346E" w:rsidRDefault="00D173AF" w:rsidP="00B74592">
            <w:pPr>
              <w:jc w:val="both"/>
              <w:rPr>
                <w:rFonts w:ascii="Poppins" w:hAnsi="Poppins" w:cs="Poppins"/>
                <w:lang w:val="en-GB"/>
              </w:rPr>
            </w:pPr>
            <w:r w:rsidRPr="008B346E">
              <w:rPr>
                <w:rFonts w:ascii="Poppins" w:hAnsi="Poppins" w:cs="Poppins"/>
                <w:lang w:val="en-GB"/>
              </w:rPr>
              <w:t>Rapporto tra il numero di pensionati e il numero di lavoratori nella forza lavoro. Fonte: CRPens ; EU-LFS; IPSR.</w:t>
            </w:r>
          </w:p>
        </w:tc>
      </w:tr>
      <w:tr w:rsidR="00D173AF" w:rsidRPr="008B346E" w14:paraId="08B3C2F5" w14:textId="77777777" w:rsidTr="00B74592">
        <w:tc>
          <w:tcPr>
            <w:tcW w:w="0" w:type="auto"/>
            <w:tcMar>
              <w:left w:w="28" w:type="dxa"/>
              <w:right w:w="28" w:type="dxa"/>
            </w:tcMar>
          </w:tcPr>
          <w:p w14:paraId="2B9B84B9"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lastRenderedPageBreak/>
              <w:t>Tasso di transizione alla pensione (TRT)</w:t>
            </w:r>
          </w:p>
        </w:tc>
        <w:tc>
          <w:tcPr>
            <w:tcW w:w="0" w:type="auto"/>
            <w:tcMar>
              <w:left w:w="28" w:type="dxa"/>
              <w:right w:w="28" w:type="dxa"/>
            </w:tcMar>
          </w:tcPr>
          <w:p w14:paraId="083F8A92" w14:textId="77777777" w:rsidR="00D173AF" w:rsidRPr="008B346E" w:rsidRDefault="00D173AF" w:rsidP="00B74592">
            <w:pPr>
              <w:jc w:val="both"/>
              <w:rPr>
                <w:rFonts w:ascii="Poppins" w:hAnsi="Poppins" w:cs="Poppins"/>
                <w:lang w:val="en-GB"/>
              </w:rPr>
            </w:pPr>
            <w:r w:rsidRPr="008B346E">
              <w:rPr>
                <w:rFonts w:ascii="Poppins" w:hAnsi="Poppins" w:cs="Poppins"/>
                <w:lang w:val="en-GB"/>
              </w:rPr>
              <w:t>Percentuale di individui che passano dal mondo del lavoro alla pensione entro un periodo di tempo specifico, disaggregata per fascia d'età, genere e settore. Fonte: CRPens , EU-LFS.</w:t>
            </w:r>
          </w:p>
        </w:tc>
      </w:tr>
      <w:tr w:rsidR="00D173AF" w:rsidRPr="008B346E" w14:paraId="2A8EEDEA" w14:textId="77777777" w:rsidTr="00B74592">
        <w:tc>
          <w:tcPr>
            <w:tcW w:w="0" w:type="auto"/>
            <w:tcMar>
              <w:left w:w="28" w:type="dxa"/>
              <w:right w:w="28" w:type="dxa"/>
            </w:tcMar>
          </w:tcPr>
          <w:p w14:paraId="734AE227"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Età media di uscita dal mercato del lavoro</w:t>
            </w:r>
          </w:p>
        </w:tc>
        <w:tc>
          <w:tcPr>
            <w:tcW w:w="0" w:type="auto"/>
            <w:tcMar>
              <w:left w:w="28" w:type="dxa"/>
              <w:right w:w="28" w:type="dxa"/>
            </w:tcMar>
          </w:tcPr>
          <w:p w14:paraId="1AD2F85E" w14:textId="77777777" w:rsidR="00D173AF" w:rsidRPr="008B346E" w:rsidRDefault="00D173AF" w:rsidP="00B74592">
            <w:pPr>
              <w:jc w:val="both"/>
              <w:rPr>
                <w:rFonts w:ascii="Poppins" w:hAnsi="Poppins" w:cs="Poppins"/>
                <w:lang w:val="en-GB"/>
              </w:rPr>
            </w:pPr>
            <w:r w:rsidRPr="008B346E">
              <w:rPr>
                <w:rFonts w:ascii="Poppins" w:hAnsi="Poppins" w:cs="Poppins"/>
                <w:lang w:val="en-GB"/>
              </w:rPr>
              <w:t>Età media in cui gli individui lasciano il mercato del lavoro, passando alla pensione o all'inattività. Fonte: CRPens ; MEF-Tax.</w:t>
            </w:r>
          </w:p>
        </w:tc>
      </w:tr>
      <w:tr w:rsidR="00D173AF" w:rsidRPr="008B346E" w14:paraId="5F0004FA" w14:textId="77777777" w:rsidTr="00B74592">
        <w:tc>
          <w:tcPr>
            <w:tcW w:w="0" w:type="auto"/>
            <w:tcMar>
              <w:left w:w="28" w:type="dxa"/>
              <w:right w:w="28" w:type="dxa"/>
            </w:tcMar>
          </w:tcPr>
          <w:p w14:paraId="4849F396"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Età media effettiva di pensionamento</w:t>
            </w:r>
          </w:p>
        </w:tc>
        <w:tc>
          <w:tcPr>
            <w:tcW w:w="0" w:type="auto"/>
            <w:tcMar>
              <w:left w:w="28" w:type="dxa"/>
              <w:right w:w="28" w:type="dxa"/>
            </w:tcMar>
          </w:tcPr>
          <w:p w14:paraId="5812A991" w14:textId="77777777" w:rsidR="00D173AF" w:rsidRPr="008B346E" w:rsidRDefault="00D173AF" w:rsidP="00B74592">
            <w:pPr>
              <w:jc w:val="both"/>
              <w:rPr>
                <w:rFonts w:ascii="Poppins" w:hAnsi="Poppins" w:cs="Poppins"/>
                <w:lang w:val="en-GB"/>
              </w:rPr>
            </w:pPr>
            <w:r w:rsidRPr="008B346E">
              <w:rPr>
                <w:rFonts w:ascii="Poppins" w:hAnsi="Poppins" w:cs="Poppins"/>
                <w:lang w:val="en-GB"/>
              </w:rPr>
              <w:t>Età media in cui gli individui iniziano a ricevere la pensione, suddivisa per tipologia (anzianità, vecchiaia, pensionamento anticipato, invalidità e superstiti). Fonte: CRPens ; IPSR.</w:t>
            </w:r>
          </w:p>
        </w:tc>
      </w:tr>
      <w:tr w:rsidR="00D173AF" w:rsidRPr="008B346E" w14:paraId="7C842A33" w14:textId="77777777" w:rsidTr="00B74592">
        <w:tc>
          <w:tcPr>
            <w:tcW w:w="0" w:type="auto"/>
            <w:tcMar>
              <w:left w:w="28" w:type="dxa"/>
              <w:right w:w="28" w:type="dxa"/>
            </w:tcMar>
          </w:tcPr>
          <w:p w14:paraId="1ECBDAD7"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Periodo contributivo</w:t>
            </w:r>
          </w:p>
        </w:tc>
        <w:tc>
          <w:tcPr>
            <w:tcW w:w="0" w:type="auto"/>
            <w:tcMar>
              <w:left w:w="28" w:type="dxa"/>
              <w:right w:w="28" w:type="dxa"/>
            </w:tcMar>
          </w:tcPr>
          <w:p w14:paraId="0D9732CA" w14:textId="77777777" w:rsidR="00D173AF" w:rsidRPr="008B346E" w:rsidRDefault="00D173AF" w:rsidP="00B74592">
            <w:pPr>
              <w:jc w:val="both"/>
              <w:rPr>
                <w:rFonts w:ascii="Poppins" w:hAnsi="Poppins" w:cs="Poppins"/>
                <w:lang w:val="en-GB"/>
              </w:rPr>
            </w:pPr>
            <w:r w:rsidRPr="008B346E">
              <w:rPr>
                <w:rFonts w:ascii="Poppins" w:hAnsi="Poppins" w:cs="Poppins"/>
                <w:lang w:val="en-GB"/>
              </w:rPr>
              <w:t>Numero totale di anni durante i quali un individuo ha versato contributi alla previdenza sociale o ai regimi pensionistici nel corso della sua vita lavorativa. Fonte: CRPens , MEF-Tax.</w:t>
            </w:r>
          </w:p>
        </w:tc>
      </w:tr>
      <w:tr w:rsidR="00D173AF" w:rsidRPr="008B346E" w14:paraId="4E887DD8" w14:textId="77777777" w:rsidTr="00B74592">
        <w:tc>
          <w:tcPr>
            <w:tcW w:w="0" w:type="auto"/>
            <w:tcMar>
              <w:left w:w="28" w:type="dxa"/>
              <w:right w:w="28" w:type="dxa"/>
            </w:tcMar>
          </w:tcPr>
          <w:p w14:paraId="7553D6EB"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Durata della pensione</w:t>
            </w:r>
          </w:p>
        </w:tc>
        <w:tc>
          <w:tcPr>
            <w:tcW w:w="0" w:type="auto"/>
            <w:tcMar>
              <w:left w:w="28" w:type="dxa"/>
              <w:right w:w="28" w:type="dxa"/>
            </w:tcMar>
          </w:tcPr>
          <w:p w14:paraId="2C68E0E5" w14:textId="77777777" w:rsidR="00D173AF" w:rsidRPr="008B346E" w:rsidRDefault="00D173AF" w:rsidP="00B74592">
            <w:pPr>
              <w:jc w:val="both"/>
              <w:rPr>
                <w:rFonts w:ascii="Poppins" w:hAnsi="Poppins" w:cs="Poppins"/>
                <w:lang w:val="en-GB"/>
              </w:rPr>
            </w:pPr>
            <w:r w:rsidRPr="008B346E">
              <w:rPr>
                <w:rFonts w:ascii="Poppins" w:hAnsi="Poppins" w:cs="Poppins"/>
                <w:lang w:val="en-GB"/>
              </w:rPr>
              <w:t>Numero medio di anni che un individuo trascorre in pensione dopo aver lasciato il mercato del lavoro. Fonte: CRPens , MEF-Tax.</w:t>
            </w:r>
          </w:p>
        </w:tc>
      </w:tr>
      <w:tr w:rsidR="00D173AF" w:rsidRPr="008B346E" w14:paraId="3E970F12" w14:textId="77777777" w:rsidTr="00B74592">
        <w:tc>
          <w:tcPr>
            <w:tcW w:w="0" w:type="auto"/>
            <w:tcMar>
              <w:left w:w="28" w:type="dxa"/>
              <w:right w:w="28" w:type="dxa"/>
            </w:tcMar>
          </w:tcPr>
          <w:p w14:paraId="65509A56"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Rapporto di durata della pensione</w:t>
            </w:r>
          </w:p>
        </w:tc>
        <w:tc>
          <w:tcPr>
            <w:tcW w:w="0" w:type="auto"/>
            <w:tcMar>
              <w:left w:w="28" w:type="dxa"/>
              <w:right w:w="28" w:type="dxa"/>
            </w:tcMar>
          </w:tcPr>
          <w:p w14:paraId="603DD166" w14:textId="77777777" w:rsidR="00D173AF" w:rsidRPr="008B346E" w:rsidRDefault="00D173AF" w:rsidP="00B74592">
            <w:pPr>
              <w:jc w:val="both"/>
              <w:rPr>
                <w:rFonts w:ascii="Poppins" w:hAnsi="Poppins" w:cs="Poppins"/>
                <w:lang w:val="en-GB"/>
              </w:rPr>
            </w:pPr>
            <w:r w:rsidRPr="008B346E">
              <w:rPr>
                <w:rFonts w:ascii="Poppins" w:hAnsi="Poppins" w:cs="Poppins"/>
                <w:lang w:val="en-GB"/>
              </w:rPr>
              <w:t>Rapporto tra la durata media della pensione e il periodo contributivo, che riflette il saldo tra il tempo dedicato a contribuire e quello dedicato alla ricezione delle prestazioni pensionistiche. Fonte: CRPens , MEF-Tax.</w:t>
            </w:r>
          </w:p>
        </w:tc>
      </w:tr>
      <w:tr w:rsidR="00D173AF" w:rsidRPr="008B346E" w14:paraId="450300D8" w14:textId="77777777" w:rsidTr="00B74592">
        <w:tc>
          <w:tcPr>
            <w:tcW w:w="0" w:type="auto"/>
            <w:tcMar>
              <w:left w:w="28" w:type="dxa"/>
              <w:right w:w="28" w:type="dxa"/>
            </w:tcMar>
          </w:tcPr>
          <w:p w14:paraId="4429F749"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Motivo per cui hai lasciato l'ultimo lavoro</w:t>
            </w:r>
          </w:p>
        </w:tc>
        <w:tc>
          <w:tcPr>
            <w:tcW w:w="0" w:type="auto"/>
            <w:tcMar>
              <w:left w:w="28" w:type="dxa"/>
              <w:right w:w="28" w:type="dxa"/>
            </w:tcMar>
          </w:tcPr>
          <w:p w14:paraId="19008BE1" w14:textId="77777777" w:rsidR="00D173AF" w:rsidRPr="008B346E" w:rsidRDefault="00D173AF" w:rsidP="00B74592">
            <w:pPr>
              <w:jc w:val="both"/>
              <w:rPr>
                <w:rFonts w:ascii="Poppins" w:hAnsi="Poppins" w:cs="Poppins"/>
                <w:lang w:val="en-GB"/>
              </w:rPr>
            </w:pPr>
            <w:r w:rsidRPr="008B346E">
              <w:rPr>
                <w:rFonts w:ascii="Poppins" w:hAnsi="Poppins" w:cs="Poppins"/>
                <w:lang w:val="en-GB"/>
              </w:rPr>
              <w:t>Principali motivi per cui le persone non occupate lasciano il loro ultimo impiego, per fascia d'età. Fonte: EU-LFS.</w:t>
            </w:r>
          </w:p>
        </w:tc>
      </w:tr>
      <w:tr w:rsidR="00D173AF" w:rsidRPr="008B346E" w14:paraId="1522F80A" w14:textId="77777777" w:rsidTr="00B74592">
        <w:tc>
          <w:tcPr>
            <w:tcW w:w="0" w:type="auto"/>
            <w:gridSpan w:val="2"/>
            <w:tcMar>
              <w:left w:w="28" w:type="dxa"/>
              <w:right w:w="28" w:type="dxa"/>
            </w:tcMar>
          </w:tcPr>
          <w:p w14:paraId="1F442A99" w14:textId="77777777" w:rsidR="00D173AF" w:rsidRPr="008B346E" w:rsidRDefault="00D173AF" w:rsidP="00B74592">
            <w:pPr>
              <w:jc w:val="both"/>
              <w:rPr>
                <w:rFonts w:ascii="Poppins" w:hAnsi="Poppins" w:cs="Poppins"/>
                <w:b/>
                <w:bCs/>
                <w:i/>
                <w:iCs/>
                <w:lang w:val="en-GB"/>
              </w:rPr>
            </w:pPr>
            <w:r w:rsidRPr="008B346E">
              <w:rPr>
                <w:rFonts w:ascii="Poppins" w:hAnsi="Poppins" w:cs="Poppins"/>
                <w:b/>
                <w:bCs/>
                <w:lang w:val="en-GB"/>
              </w:rPr>
              <w:t xml:space="preserve">Dimensione </w:t>
            </w:r>
            <w:r w:rsidRPr="008B346E">
              <w:rPr>
                <w:rFonts w:ascii="Poppins" w:hAnsi="Poppins" w:cs="Poppins"/>
                <w:b/>
                <w:bCs/>
                <w:i/>
                <w:iCs/>
                <w:lang w:val="en-GB"/>
              </w:rPr>
              <w:t>: utilizzo delle reti di sicurezza sociale</w:t>
            </w:r>
          </w:p>
        </w:tc>
      </w:tr>
      <w:tr w:rsidR="00D173AF" w:rsidRPr="008B346E" w14:paraId="76141BBD" w14:textId="77777777" w:rsidTr="00B74592">
        <w:tc>
          <w:tcPr>
            <w:tcW w:w="0" w:type="auto"/>
            <w:tcMar>
              <w:left w:w="28" w:type="dxa"/>
              <w:right w:w="28" w:type="dxa"/>
            </w:tcMar>
          </w:tcPr>
          <w:p w14:paraId="799263E8"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Assenteismo dal lavoro per malattia o infortunio</w:t>
            </w:r>
          </w:p>
        </w:tc>
        <w:tc>
          <w:tcPr>
            <w:tcW w:w="0" w:type="auto"/>
            <w:tcMar>
              <w:left w:w="28" w:type="dxa"/>
              <w:right w:w="28" w:type="dxa"/>
            </w:tcMar>
          </w:tcPr>
          <w:p w14:paraId="000FB80B" w14:textId="77777777" w:rsidR="00D173AF" w:rsidRPr="008B346E" w:rsidRDefault="00D173AF" w:rsidP="00B74592">
            <w:pPr>
              <w:jc w:val="both"/>
              <w:rPr>
                <w:rFonts w:ascii="Poppins" w:hAnsi="Poppins" w:cs="Poppins"/>
                <w:lang w:val="en-GB"/>
              </w:rPr>
            </w:pPr>
            <w:r w:rsidRPr="008B346E">
              <w:rPr>
                <w:rFonts w:ascii="Poppins" w:hAnsi="Poppins" w:cs="Poppins"/>
                <w:lang w:val="en-GB"/>
              </w:rPr>
              <w:t>Numero medio di giornate lavorative perse per dipendente all'anno per malattia o infortunio: confronto per fascia d'età. Fonte: INPS-UHS.</w:t>
            </w:r>
          </w:p>
        </w:tc>
      </w:tr>
      <w:tr w:rsidR="00D173AF" w:rsidRPr="008B346E" w14:paraId="2391C871" w14:textId="77777777" w:rsidTr="00B74592">
        <w:tc>
          <w:tcPr>
            <w:tcW w:w="0" w:type="auto"/>
            <w:tcMar>
              <w:left w:w="28" w:type="dxa"/>
              <w:right w:w="28" w:type="dxa"/>
            </w:tcMar>
          </w:tcPr>
          <w:p w14:paraId="7C792622"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Tasso di utilizzo della protezione sociale</w:t>
            </w:r>
          </w:p>
        </w:tc>
        <w:tc>
          <w:tcPr>
            <w:tcW w:w="0" w:type="auto"/>
            <w:tcMar>
              <w:left w:w="28" w:type="dxa"/>
              <w:right w:w="28" w:type="dxa"/>
            </w:tcMar>
          </w:tcPr>
          <w:p w14:paraId="4EB8D35F" w14:textId="77777777" w:rsidR="00D173AF" w:rsidRPr="008B346E" w:rsidRDefault="00D173AF" w:rsidP="00B74592">
            <w:pPr>
              <w:jc w:val="both"/>
              <w:rPr>
                <w:rFonts w:ascii="Poppins" w:hAnsi="Poppins" w:cs="Poppins"/>
                <w:lang w:val="en-GB"/>
              </w:rPr>
            </w:pPr>
            <w:r w:rsidRPr="008B346E">
              <w:rPr>
                <w:rFonts w:ascii="Poppins" w:hAnsi="Poppins" w:cs="Poppins"/>
                <w:lang w:val="en-GB"/>
              </w:rPr>
              <w:t>Proporzione della popolazione che accede alle prestazioni di protezione sociale ( NASPI ) per fascia di età. Fonte: INPS- NASPI .</w:t>
            </w:r>
          </w:p>
        </w:tc>
      </w:tr>
      <w:tr w:rsidR="00D173AF" w:rsidRPr="008B346E" w14:paraId="15409C5F" w14:textId="77777777" w:rsidTr="00B74592">
        <w:tc>
          <w:tcPr>
            <w:tcW w:w="0" w:type="auto"/>
            <w:tcMar>
              <w:left w:w="28" w:type="dxa"/>
              <w:right w:w="28" w:type="dxa"/>
            </w:tcMar>
          </w:tcPr>
          <w:p w14:paraId="2AC3643B"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Tasso di utilizzo del Fondo di garanzia salariale</w:t>
            </w:r>
          </w:p>
        </w:tc>
        <w:tc>
          <w:tcPr>
            <w:tcW w:w="0" w:type="auto"/>
            <w:tcMar>
              <w:left w:w="28" w:type="dxa"/>
              <w:right w:w="28" w:type="dxa"/>
            </w:tcMar>
          </w:tcPr>
          <w:p w14:paraId="24E8E25C" w14:textId="77777777" w:rsidR="00D173AF" w:rsidRPr="008B346E" w:rsidRDefault="00D173AF" w:rsidP="00B74592">
            <w:pPr>
              <w:jc w:val="both"/>
              <w:rPr>
                <w:rFonts w:ascii="Poppins" w:hAnsi="Poppins" w:cs="Poppins"/>
                <w:lang w:val="en-GB"/>
              </w:rPr>
            </w:pPr>
            <w:r w:rsidRPr="008B346E">
              <w:rPr>
                <w:rFonts w:ascii="Poppins" w:hAnsi="Poppins" w:cs="Poppins"/>
                <w:lang w:val="en-GB"/>
              </w:rPr>
              <w:t>Quota della popolazione che accede alla Cassa Integrazione Guadagni (CIG), disaggregata per fascia di età, genere, settore e numero totale di ore autorizzate. Fonte: INPS-CIG.</w:t>
            </w:r>
          </w:p>
        </w:tc>
      </w:tr>
      <w:tr w:rsidR="00D173AF" w:rsidRPr="008B346E" w14:paraId="3AA1077B" w14:textId="77777777" w:rsidTr="00B74592">
        <w:tc>
          <w:tcPr>
            <w:tcW w:w="0" w:type="auto"/>
            <w:gridSpan w:val="2"/>
            <w:tcMar>
              <w:left w:w="28" w:type="dxa"/>
              <w:right w:w="28" w:type="dxa"/>
            </w:tcMar>
          </w:tcPr>
          <w:p w14:paraId="6ABB9DC9" w14:textId="77777777" w:rsidR="00D173AF" w:rsidRPr="008B346E" w:rsidRDefault="00D173AF" w:rsidP="00B74592">
            <w:pPr>
              <w:jc w:val="both"/>
              <w:rPr>
                <w:rFonts w:ascii="Poppins" w:hAnsi="Poppins" w:cs="Poppins"/>
                <w:lang w:val="en-GB"/>
              </w:rPr>
            </w:pPr>
            <w:r w:rsidRPr="008B346E">
              <w:rPr>
                <w:rFonts w:ascii="Poppins" w:hAnsi="Poppins" w:cs="Poppins"/>
                <w:b/>
                <w:bCs/>
                <w:lang w:val="en-GB"/>
              </w:rPr>
              <w:t xml:space="preserve">Dimensione </w:t>
            </w:r>
            <w:r w:rsidRPr="008B346E">
              <w:rPr>
                <w:rFonts w:ascii="Poppins" w:hAnsi="Poppins" w:cs="Poppins"/>
                <w:b/>
                <w:bCs/>
                <w:i/>
                <w:iCs/>
                <w:lang w:val="en-GB"/>
              </w:rPr>
              <w:t>: utilizzo delle politiche di lavoro in argento</w:t>
            </w:r>
          </w:p>
        </w:tc>
      </w:tr>
      <w:tr w:rsidR="00D173AF" w:rsidRPr="008B346E" w14:paraId="1475A41C" w14:textId="77777777" w:rsidTr="00B74592">
        <w:tc>
          <w:tcPr>
            <w:tcW w:w="0" w:type="auto"/>
            <w:tcMar>
              <w:left w:w="28" w:type="dxa"/>
              <w:right w:w="28" w:type="dxa"/>
            </w:tcMar>
          </w:tcPr>
          <w:p w14:paraId="4EA8BCE5" w14:textId="77777777" w:rsidR="00D173AF" w:rsidRPr="008B346E" w:rsidRDefault="00D173AF" w:rsidP="00B74592">
            <w:pPr>
              <w:jc w:val="both"/>
              <w:rPr>
                <w:rFonts w:ascii="Poppins" w:hAnsi="Poppins" w:cs="Poppins"/>
                <w:lang w:val="en-GB"/>
              </w:rPr>
            </w:pPr>
            <w:r w:rsidRPr="008B346E">
              <w:rPr>
                <w:rFonts w:ascii="Poppins" w:hAnsi="Poppins" w:cs="Poppins"/>
                <w:lang w:val="en-GB"/>
              </w:rPr>
              <w:lastRenderedPageBreak/>
              <w:t>Aziende con agevolazioni fiscali per assunzioni over 50</w:t>
            </w:r>
          </w:p>
        </w:tc>
        <w:tc>
          <w:tcPr>
            <w:tcW w:w="0" w:type="auto"/>
            <w:tcMar>
              <w:left w:w="28" w:type="dxa"/>
              <w:right w:w="28" w:type="dxa"/>
            </w:tcMar>
          </w:tcPr>
          <w:p w14:paraId="3A637469" w14:textId="77777777" w:rsidR="00D173AF" w:rsidRPr="008B346E" w:rsidRDefault="00D173AF" w:rsidP="00B74592">
            <w:pPr>
              <w:jc w:val="both"/>
              <w:rPr>
                <w:rFonts w:ascii="Poppins" w:hAnsi="Poppins" w:cs="Poppins"/>
                <w:lang w:val="en-GB"/>
              </w:rPr>
            </w:pPr>
            <w:r w:rsidRPr="008B346E">
              <w:rPr>
                <w:rFonts w:ascii="Poppins" w:hAnsi="Poppins" w:cs="Poppins"/>
                <w:lang w:val="en-GB"/>
              </w:rPr>
              <w:t>Numero/quota di aziende che beneficiano delle agevolazioni fiscali per l'assunzione di disoccupati di età pari o superiore a 50 anni (Legge 92/2012). Fonte: Istat -ASIA.</w:t>
            </w:r>
          </w:p>
        </w:tc>
      </w:tr>
      <w:tr w:rsidR="00D173AF" w:rsidRPr="008B346E" w14:paraId="0D6F4252" w14:textId="77777777" w:rsidTr="00B74592">
        <w:tc>
          <w:tcPr>
            <w:tcW w:w="0" w:type="auto"/>
            <w:tcMar>
              <w:left w:w="28" w:type="dxa"/>
              <w:right w:w="28" w:type="dxa"/>
            </w:tcMar>
          </w:tcPr>
          <w:p w14:paraId="00256FFC" w14:textId="77777777" w:rsidR="00D173AF" w:rsidRPr="008B346E" w:rsidRDefault="00D173AF" w:rsidP="00B74592">
            <w:pPr>
              <w:jc w:val="both"/>
              <w:rPr>
                <w:rFonts w:ascii="Poppins" w:hAnsi="Poppins" w:cs="Poppins"/>
                <w:lang w:val="en-GB"/>
              </w:rPr>
            </w:pPr>
            <w:r w:rsidRPr="008B346E">
              <w:rPr>
                <w:rFonts w:ascii="Poppins" w:hAnsi="Poppins" w:cs="Poppins"/>
                <w:lang w:val="en-GB"/>
              </w:rPr>
              <w:t>Lavoratori over 50 che beneficiano di agevolazioni fiscali</w:t>
            </w:r>
          </w:p>
        </w:tc>
        <w:tc>
          <w:tcPr>
            <w:tcW w:w="0" w:type="auto"/>
            <w:tcMar>
              <w:left w:w="28" w:type="dxa"/>
              <w:right w:w="28" w:type="dxa"/>
            </w:tcMar>
          </w:tcPr>
          <w:p w14:paraId="3745D7A9" w14:textId="77777777" w:rsidR="00D173AF" w:rsidRPr="008B346E" w:rsidRDefault="00D173AF" w:rsidP="00B74592">
            <w:pPr>
              <w:jc w:val="both"/>
              <w:rPr>
                <w:rFonts w:ascii="Poppins" w:hAnsi="Poppins" w:cs="Poppins"/>
                <w:lang w:val="en-GB"/>
              </w:rPr>
            </w:pPr>
            <w:r w:rsidRPr="008B346E">
              <w:rPr>
                <w:rFonts w:ascii="Poppins" w:hAnsi="Poppins" w:cs="Poppins"/>
                <w:lang w:val="en-GB"/>
              </w:rPr>
              <w:t>Quota di lavoratori over 50 che beneficiano di agevolazioni fiscali per l'assunzione di disoccupati di età pari o superiore a 50 anni (Legge 92/2012). Fonte: Istat -ASIA.</w:t>
            </w:r>
          </w:p>
        </w:tc>
      </w:tr>
      <w:tr w:rsidR="00D173AF" w:rsidRPr="008B346E" w14:paraId="137F2FC4" w14:textId="77777777" w:rsidTr="00B74592">
        <w:tc>
          <w:tcPr>
            <w:tcW w:w="0" w:type="auto"/>
            <w:tcMar>
              <w:left w:w="28" w:type="dxa"/>
              <w:right w:w="28" w:type="dxa"/>
            </w:tcMar>
          </w:tcPr>
          <w:p w14:paraId="004FF013" w14:textId="77777777" w:rsidR="00D173AF" w:rsidRPr="008B346E" w:rsidRDefault="00D173AF" w:rsidP="00B74592">
            <w:pPr>
              <w:jc w:val="both"/>
              <w:rPr>
                <w:rFonts w:ascii="Poppins" w:hAnsi="Poppins" w:cs="Poppins"/>
                <w:lang w:val="en-GB"/>
              </w:rPr>
            </w:pPr>
            <w:r w:rsidRPr="008B346E">
              <w:rPr>
                <w:rFonts w:ascii="Poppins" w:hAnsi="Poppins" w:cs="Poppins"/>
                <w:lang w:val="en-GB"/>
              </w:rPr>
              <w:t>55+ iscritti al programma GOL</w:t>
            </w:r>
          </w:p>
        </w:tc>
        <w:tc>
          <w:tcPr>
            <w:tcW w:w="0" w:type="auto"/>
            <w:tcMar>
              <w:left w:w="28" w:type="dxa"/>
              <w:right w:w="28" w:type="dxa"/>
            </w:tcMar>
          </w:tcPr>
          <w:p w14:paraId="15B9C9CB" w14:textId="77777777" w:rsidR="00D173AF" w:rsidRPr="008B346E" w:rsidRDefault="00D173AF" w:rsidP="00B74592">
            <w:pPr>
              <w:jc w:val="both"/>
              <w:rPr>
                <w:rFonts w:ascii="Poppins" w:hAnsi="Poppins" w:cs="Poppins"/>
                <w:lang w:val="en-GB"/>
              </w:rPr>
            </w:pPr>
            <w:r w:rsidRPr="008B346E">
              <w:rPr>
                <w:rFonts w:ascii="Poppins" w:hAnsi="Poppins" w:cs="Poppins"/>
                <w:lang w:val="en-GB"/>
              </w:rPr>
              <w:t>Percentuale di individui di età pari o superiore a 55 anni iscritti al Programma GOL volto a migliorare l'occupabilità. Fonte: MLPS-GOL.</w:t>
            </w:r>
          </w:p>
        </w:tc>
      </w:tr>
    </w:tbl>
    <w:p w14:paraId="11582AD5" w14:textId="77777777" w:rsidR="00D173AF" w:rsidRPr="008B346E" w:rsidRDefault="00D173AF" w:rsidP="00D173AF">
      <w:pPr>
        <w:jc w:val="both"/>
        <w:rPr>
          <w:rFonts w:ascii="Poppins" w:hAnsi="Poppins" w:cs="Poppins"/>
          <w:sz w:val="20"/>
          <w:szCs w:val="20"/>
          <w:lang w:val="en-GB"/>
        </w:rPr>
      </w:pPr>
    </w:p>
    <w:p w14:paraId="7E6FF4FD" w14:textId="77777777" w:rsidR="00D173AF" w:rsidRPr="008B346E" w:rsidRDefault="00D173AF" w:rsidP="00D173AF">
      <w:pPr>
        <w:jc w:val="both"/>
        <w:rPr>
          <w:rFonts w:ascii="Poppins" w:hAnsi="Poppins" w:cs="Poppins"/>
          <w:sz w:val="20"/>
          <w:szCs w:val="20"/>
          <w:lang w:val="en-GB"/>
        </w:rPr>
      </w:pPr>
      <w:r w:rsidRPr="008B346E">
        <w:rPr>
          <w:rFonts w:ascii="Poppins" w:hAnsi="Poppins" w:cs="Poppins"/>
          <w:sz w:val="20"/>
          <w:szCs w:val="20"/>
          <w:lang w:val="en-GB"/>
        </w:rPr>
        <w:t>Il Global Entrepreneurship Monitor (GEM), riconosciuto come una delle più importanti iniziative di ricerca sull'imprenditorialità a livello globale, offre una serie completa di indicatori comparativi, inclusi quelli sull'imprenditorialità "silver". Il GEM categorizza la sua analisi in due dimensioni principali: "Comportamento e atteggiamenti imprenditoriali" e "Condizioni del quadro imprenditoriale". La prima si concentra su fattori a livello individuale come percezioni, motivazioni e intenzioni imprenditoriali. Esplora come le convinzioni e le aspirazioni personali guidino le attività imprenditoriali all'interno di specifiche popolazioni. Al contrario, la seconda esamina le influenze sistemiche sull'imprenditorialità, come la disponibilità di risorse finanziarie, il contesto normativo e le politiche governative. Le informazioni su "Comportamento e atteggiamenti imprenditoriali" vengono raccolte annualmente attraverso sondaggi somministrati a un campione minimo di 2.000 adulti in ciascun paese partecipante. I dati sulle "Condizioni del quadro imprenditoriale" vengono invece raccolti tramite un'indagine nazionale di esperti, sfruttando le conoscenze degli specialisti per valutare l'ecosistema più ampio che plasma le dinamiche imprenditoriali. Questo duplice approccio consente al GEM di fornire una comprensione approfondita sia dei modelli comportamentali a livello micro sia delle condizioni strutturali a livello macro che influenzano l'imprenditorialità. I principali indicatori raccolti sono riassunti nelle tabelle seguenti.</w:t>
      </w:r>
    </w:p>
    <w:p w14:paraId="2816887A" w14:textId="77777777" w:rsidR="00D173AF" w:rsidRPr="008B346E" w:rsidRDefault="00D173AF" w:rsidP="00D173AF">
      <w:pPr>
        <w:pStyle w:val="Didascalia"/>
        <w:rPr>
          <w:rFonts w:ascii="Poppins" w:hAnsi="Poppins" w:cs="Poppins"/>
          <w:szCs w:val="20"/>
          <w:lang w:val="en-GB"/>
        </w:rPr>
      </w:pPr>
      <w:r w:rsidRPr="008B346E">
        <w:rPr>
          <w:rFonts w:ascii="Poppins" w:hAnsi="Poppins" w:cs="Poppins"/>
          <w:szCs w:val="20"/>
          <w:lang w:val="en-GB"/>
        </w:rPr>
        <w:t xml:space="preserve">Tabella </w:t>
      </w:r>
      <w:r w:rsidRPr="008B346E">
        <w:rPr>
          <w:rFonts w:ascii="Poppins" w:hAnsi="Poppins" w:cs="Poppins"/>
          <w:noProof/>
          <w:szCs w:val="20"/>
          <w:lang w:val="en-GB"/>
        </w:rPr>
        <w:t xml:space="preserve">15 </w:t>
      </w:r>
      <w:r w:rsidRPr="008B346E">
        <w:rPr>
          <w:rFonts w:ascii="Poppins" w:hAnsi="Poppins" w:cs="Poppins"/>
          <w:szCs w:val="20"/>
          <w:lang w:val="en-GB"/>
        </w:rPr>
        <w:t>- Comportamento e atteggiamenti imprenditoriali. Fonte: Global Entrepreneurship Monitor (gemconsortium.org)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68"/>
        <w:gridCol w:w="6660"/>
      </w:tblGrid>
      <w:tr w:rsidR="00D173AF" w:rsidRPr="008B346E" w14:paraId="2D351B46" w14:textId="77777777" w:rsidTr="00B74592">
        <w:trPr>
          <w:trHeight w:val="57"/>
        </w:trPr>
        <w:tc>
          <w:tcPr>
            <w:tcW w:w="0" w:type="auto"/>
            <w:tcMar>
              <w:left w:w="57" w:type="dxa"/>
              <w:right w:w="57" w:type="dxa"/>
            </w:tcMar>
            <w:hideMark/>
          </w:tcPr>
          <w:p w14:paraId="037E7209" w14:textId="77777777" w:rsidR="00D173AF" w:rsidRPr="008B346E" w:rsidRDefault="00D173AF" w:rsidP="00B74592">
            <w:pPr>
              <w:spacing w:after="0" w:line="240" w:lineRule="auto"/>
              <w:jc w:val="both"/>
              <w:rPr>
                <w:rFonts w:ascii="Poppins" w:eastAsia="Times New Roman" w:hAnsi="Poppins" w:cs="Poppins"/>
                <w:b/>
                <w:bCs/>
                <w:color w:val="000000"/>
                <w:sz w:val="20"/>
                <w:szCs w:val="20"/>
                <w:lang w:val="en-GB"/>
              </w:rPr>
            </w:pPr>
            <w:r w:rsidRPr="008B346E">
              <w:rPr>
                <w:rFonts w:ascii="Poppins" w:eastAsia="Times New Roman" w:hAnsi="Poppins" w:cs="Poppins"/>
                <w:b/>
                <w:bCs/>
                <w:color w:val="000000"/>
                <w:sz w:val="20"/>
                <w:szCs w:val="20"/>
                <w:lang w:val="en-GB"/>
              </w:rPr>
              <w:t>Indicatore</w:t>
            </w:r>
          </w:p>
        </w:tc>
        <w:tc>
          <w:tcPr>
            <w:tcW w:w="0" w:type="auto"/>
            <w:tcMar>
              <w:left w:w="57" w:type="dxa"/>
              <w:right w:w="57" w:type="dxa"/>
            </w:tcMar>
            <w:hideMark/>
          </w:tcPr>
          <w:p w14:paraId="24E98236" w14:textId="77777777" w:rsidR="00D173AF" w:rsidRPr="008B346E" w:rsidRDefault="00D173AF" w:rsidP="00B74592">
            <w:pPr>
              <w:spacing w:after="0" w:line="240" w:lineRule="auto"/>
              <w:jc w:val="both"/>
              <w:rPr>
                <w:rFonts w:ascii="Poppins" w:eastAsia="Times New Roman" w:hAnsi="Poppins" w:cs="Poppins"/>
                <w:b/>
                <w:bCs/>
                <w:color w:val="000000"/>
                <w:sz w:val="20"/>
                <w:szCs w:val="20"/>
                <w:lang w:val="en-GB"/>
              </w:rPr>
            </w:pPr>
            <w:r w:rsidRPr="008B346E">
              <w:rPr>
                <w:rFonts w:ascii="Poppins" w:eastAsia="Times New Roman" w:hAnsi="Poppins" w:cs="Poppins"/>
                <w:b/>
                <w:bCs/>
                <w:color w:val="000000"/>
                <w:sz w:val="20"/>
                <w:szCs w:val="20"/>
                <w:lang w:val="en-GB"/>
              </w:rPr>
              <w:t>Descrizione</w:t>
            </w:r>
          </w:p>
        </w:tc>
      </w:tr>
      <w:tr w:rsidR="00D173AF" w:rsidRPr="008B346E" w14:paraId="4735D116" w14:textId="77777777" w:rsidTr="00B74592">
        <w:trPr>
          <w:trHeight w:val="57"/>
        </w:trPr>
        <w:tc>
          <w:tcPr>
            <w:tcW w:w="0" w:type="auto"/>
            <w:tcMar>
              <w:left w:w="57" w:type="dxa"/>
              <w:right w:w="57" w:type="dxa"/>
            </w:tcMar>
            <w:hideMark/>
          </w:tcPr>
          <w:p w14:paraId="6964151C" w14:textId="77777777" w:rsidR="00D173AF" w:rsidRPr="008B346E" w:rsidRDefault="00D173AF" w:rsidP="00B74592">
            <w:pPr>
              <w:spacing w:after="0" w:line="240" w:lineRule="auto"/>
              <w:jc w:val="both"/>
              <w:rPr>
                <w:rFonts w:ascii="Poppins" w:eastAsia="Times New Roman" w:hAnsi="Poppins" w:cs="Poppins"/>
                <w:i/>
                <w:iCs/>
                <w:color w:val="000000"/>
                <w:sz w:val="20"/>
                <w:szCs w:val="20"/>
                <w:lang w:val="en-GB"/>
              </w:rPr>
            </w:pPr>
            <w:r w:rsidRPr="008B346E">
              <w:rPr>
                <w:rFonts w:ascii="Poppins" w:eastAsia="Times New Roman" w:hAnsi="Poppins" w:cs="Poppins"/>
                <w:i/>
                <w:iCs/>
                <w:color w:val="000000"/>
                <w:sz w:val="20"/>
                <w:szCs w:val="20"/>
                <w:lang w:val="en-GB"/>
              </w:rPr>
              <w:t>Tasso di opportunità percepite</w:t>
            </w:r>
          </w:p>
        </w:tc>
        <w:tc>
          <w:tcPr>
            <w:tcW w:w="0" w:type="auto"/>
            <w:tcMar>
              <w:left w:w="57" w:type="dxa"/>
              <w:right w:w="57" w:type="dxa"/>
            </w:tcMar>
            <w:hideMark/>
          </w:tcPr>
          <w:p w14:paraId="3F8AB45B" w14:textId="77777777" w:rsidR="00D173AF" w:rsidRPr="008B346E" w:rsidRDefault="00D173AF" w:rsidP="00B74592">
            <w:pPr>
              <w:spacing w:after="0" w:line="240" w:lineRule="auto"/>
              <w:jc w:val="both"/>
              <w:rPr>
                <w:rFonts w:ascii="Poppins" w:eastAsia="Times New Roman" w:hAnsi="Poppins" w:cs="Poppins"/>
                <w:color w:val="000000"/>
                <w:sz w:val="20"/>
                <w:szCs w:val="20"/>
                <w:lang w:val="en-GB"/>
              </w:rPr>
            </w:pPr>
            <w:r w:rsidRPr="008B346E">
              <w:rPr>
                <w:rFonts w:ascii="Poppins" w:eastAsia="Times New Roman" w:hAnsi="Poppins" w:cs="Poppins"/>
                <w:color w:val="000000"/>
                <w:sz w:val="20"/>
                <w:szCs w:val="20"/>
                <w:lang w:val="en-GB"/>
              </w:rPr>
              <w:t>Percentuale della popolazione di età compresa tra 18 e 64 anni (esclusi gli individui coinvolti in qualsiasi fase dell'attività imprenditoriale) che vede buone opportunità per avviare un'impresa a livello locale.</w:t>
            </w:r>
          </w:p>
        </w:tc>
      </w:tr>
      <w:tr w:rsidR="00D173AF" w:rsidRPr="008B346E" w14:paraId="3F9A3575" w14:textId="77777777" w:rsidTr="00B74592">
        <w:trPr>
          <w:trHeight w:val="57"/>
        </w:trPr>
        <w:tc>
          <w:tcPr>
            <w:tcW w:w="0" w:type="auto"/>
            <w:tcMar>
              <w:left w:w="57" w:type="dxa"/>
              <w:right w:w="57" w:type="dxa"/>
            </w:tcMar>
            <w:hideMark/>
          </w:tcPr>
          <w:p w14:paraId="76A32483" w14:textId="77777777" w:rsidR="00D173AF" w:rsidRPr="008B346E" w:rsidRDefault="00D173AF" w:rsidP="00B74592">
            <w:pPr>
              <w:spacing w:after="0" w:line="240" w:lineRule="auto"/>
              <w:jc w:val="both"/>
              <w:rPr>
                <w:rFonts w:ascii="Poppins" w:eastAsia="Times New Roman" w:hAnsi="Poppins" w:cs="Poppins"/>
                <w:i/>
                <w:iCs/>
                <w:color w:val="000000"/>
                <w:sz w:val="20"/>
                <w:szCs w:val="20"/>
                <w:lang w:val="en-GB"/>
              </w:rPr>
            </w:pPr>
            <w:r w:rsidRPr="008B346E">
              <w:rPr>
                <w:rFonts w:ascii="Poppins" w:eastAsia="Times New Roman" w:hAnsi="Poppins" w:cs="Poppins"/>
                <w:i/>
                <w:iCs/>
                <w:color w:val="000000"/>
                <w:sz w:val="20"/>
                <w:szCs w:val="20"/>
                <w:lang w:val="en-GB"/>
              </w:rPr>
              <w:t>Tasso di capacità percepite</w:t>
            </w:r>
          </w:p>
        </w:tc>
        <w:tc>
          <w:tcPr>
            <w:tcW w:w="0" w:type="auto"/>
            <w:tcMar>
              <w:left w:w="57" w:type="dxa"/>
              <w:right w:w="57" w:type="dxa"/>
            </w:tcMar>
            <w:hideMark/>
          </w:tcPr>
          <w:p w14:paraId="6BBCA887" w14:textId="77777777" w:rsidR="00D173AF" w:rsidRPr="008B346E" w:rsidRDefault="00D173AF" w:rsidP="00B74592">
            <w:pPr>
              <w:spacing w:after="0" w:line="240" w:lineRule="auto"/>
              <w:jc w:val="both"/>
              <w:rPr>
                <w:rFonts w:ascii="Poppins" w:eastAsia="Times New Roman" w:hAnsi="Poppins" w:cs="Poppins"/>
                <w:color w:val="000000"/>
                <w:sz w:val="20"/>
                <w:szCs w:val="20"/>
                <w:lang w:val="en-GB"/>
              </w:rPr>
            </w:pPr>
            <w:r w:rsidRPr="008B346E">
              <w:rPr>
                <w:rFonts w:ascii="Poppins" w:eastAsia="Times New Roman" w:hAnsi="Poppins" w:cs="Poppins"/>
                <w:color w:val="000000"/>
                <w:sz w:val="20"/>
                <w:szCs w:val="20"/>
                <w:lang w:val="en-GB"/>
              </w:rPr>
              <w:t>Percentuale della popolazione di età compresa tra 18 e 64 anni (esclusi gli individui coinvolti in qualsiasi fase dell'attività imprenditoriale) che ritiene di possedere le competenze per avviare un'attività.</w:t>
            </w:r>
          </w:p>
        </w:tc>
      </w:tr>
      <w:tr w:rsidR="00D173AF" w:rsidRPr="008B346E" w14:paraId="0913886A" w14:textId="77777777" w:rsidTr="00B74592">
        <w:trPr>
          <w:trHeight w:val="57"/>
        </w:trPr>
        <w:tc>
          <w:tcPr>
            <w:tcW w:w="0" w:type="auto"/>
            <w:tcMar>
              <w:left w:w="57" w:type="dxa"/>
              <w:right w:w="57" w:type="dxa"/>
            </w:tcMar>
            <w:hideMark/>
          </w:tcPr>
          <w:p w14:paraId="1A01B16F" w14:textId="77777777" w:rsidR="00D173AF" w:rsidRPr="008B346E" w:rsidRDefault="00D173AF" w:rsidP="00B74592">
            <w:pPr>
              <w:spacing w:after="0" w:line="240" w:lineRule="auto"/>
              <w:jc w:val="both"/>
              <w:rPr>
                <w:rFonts w:ascii="Poppins" w:eastAsia="Times New Roman" w:hAnsi="Poppins" w:cs="Poppins"/>
                <w:i/>
                <w:iCs/>
                <w:color w:val="000000"/>
                <w:sz w:val="20"/>
                <w:szCs w:val="20"/>
                <w:lang w:val="en-GB"/>
              </w:rPr>
            </w:pPr>
            <w:r w:rsidRPr="008B346E">
              <w:rPr>
                <w:rFonts w:ascii="Poppins" w:eastAsia="Times New Roman" w:hAnsi="Poppins" w:cs="Poppins"/>
                <w:i/>
                <w:iCs/>
                <w:color w:val="000000"/>
                <w:sz w:val="20"/>
                <w:szCs w:val="20"/>
                <w:lang w:val="en-GB"/>
              </w:rPr>
              <w:t>Tasso di paura del fallimento</w:t>
            </w:r>
          </w:p>
        </w:tc>
        <w:tc>
          <w:tcPr>
            <w:tcW w:w="0" w:type="auto"/>
            <w:tcMar>
              <w:left w:w="57" w:type="dxa"/>
              <w:right w:w="57" w:type="dxa"/>
            </w:tcMar>
            <w:hideMark/>
          </w:tcPr>
          <w:p w14:paraId="4E00A054" w14:textId="77777777" w:rsidR="00D173AF" w:rsidRPr="008B346E" w:rsidRDefault="00D173AF" w:rsidP="00B74592">
            <w:pPr>
              <w:spacing w:after="0" w:line="240" w:lineRule="auto"/>
              <w:jc w:val="both"/>
              <w:rPr>
                <w:rFonts w:ascii="Poppins" w:eastAsia="Times New Roman" w:hAnsi="Poppins" w:cs="Poppins"/>
                <w:color w:val="000000"/>
                <w:sz w:val="20"/>
                <w:szCs w:val="20"/>
                <w:lang w:val="en-GB"/>
              </w:rPr>
            </w:pPr>
            <w:r w:rsidRPr="008B346E">
              <w:rPr>
                <w:rFonts w:ascii="Poppins" w:eastAsia="Times New Roman" w:hAnsi="Poppins" w:cs="Poppins"/>
                <w:color w:val="000000"/>
                <w:sz w:val="20"/>
                <w:szCs w:val="20"/>
                <w:lang w:val="en-GB"/>
              </w:rPr>
              <w:t>Percentuale della popolazione di età compresa tra 18 e 64 anni (esclusi gli individui coinvolti in qualsiasi fase dell'attività imprenditoriale) che teme il fallimento quando valuta l'idea di avviare un'attività.</w:t>
            </w:r>
          </w:p>
        </w:tc>
      </w:tr>
      <w:tr w:rsidR="00D173AF" w:rsidRPr="008B346E" w14:paraId="2DBDEFE3" w14:textId="77777777" w:rsidTr="00B74592">
        <w:trPr>
          <w:trHeight w:val="57"/>
        </w:trPr>
        <w:tc>
          <w:tcPr>
            <w:tcW w:w="0" w:type="auto"/>
            <w:tcMar>
              <w:left w:w="57" w:type="dxa"/>
              <w:right w:w="57" w:type="dxa"/>
            </w:tcMar>
            <w:hideMark/>
          </w:tcPr>
          <w:p w14:paraId="4D651270" w14:textId="77777777" w:rsidR="00D173AF" w:rsidRPr="008B346E" w:rsidRDefault="00D173AF" w:rsidP="00B74592">
            <w:pPr>
              <w:spacing w:after="0" w:line="240" w:lineRule="auto"/>
              <w:jc w:val="both"/>
              <w:rPr>
                <w:rFonts w:ascii="Poppins" w:eastAsia="Times New Roman" w:hAnsi="Poppins" w:cs="Poppins"/>
                <w:i/>
                <w:iCs/>
                <w:color w:val="000000"/>
                <w:sz w:val="20"/>
                <w:szCs w:val="20"/>
                <w:lang w:val="en-GB"/>
              </w:rPr>
            </w:pPr>
            <w:r w:rsidRPr="008B346E">
              <w:rPr>
                <w:rFonts w:ascii="Poppins" w:eastAsia="Times New Roman" w:hAnsi="Poppins" w:cs="Poppins"/>
                <w:i/>
                <w:iCs/>
                <w:color w:val="000000"/>
                <w:sz w:val="20"/>
                <w:szCs w:val="20"/>
                <w:lang w:val="en-GB"/>
              </w:rPr>
              <w:lastRenderedPageBreak/>
              <w:t>Tasso di intenzioni imprenditoriali</w:t>
            </w:r>
          </w:p>
        </w:tc>
        <w:tc>
          <w:tcPr>
            <w:tcW w:w="0" w:type="auto"/>
            <w:tcMar>
              <w:left w:w="57" w:type="dxa"/>
              <w:right w:w="57" w:type="dxa"/>
            </w:tcMar>
            <w:hideMark/>
          </w:tcPr>
          <w:p w14:paraId="39813AEA" w14:textId="77777777" w:rsidR="00D173AF" w:rsidRPr="008B346E" w:rsidRDefault="00D173AF" w:rsidP="00B74592">
            <w:pPr>
              <w:spacing w:after="0" w:line="240" w:lineRule="auto"/>
              <w:jc w:val="both"/>
              <w:rPr>
                <w:rFonts w:ascii="Poppins" w:eastAsia="Times New Roman" w:hAnsi="Poppins" w:cs="Poppins"/>
                <w:color w:val="000000"/>
                <w:sz w:val="20"/>
                <w:szCs w:val="20"/>
                <w:lang w:val="en-GB"/>
              </w:rPr>
            </w:pPr>
            <w:r w:rsidRPr="008B346E">
              <w:rPr>
                <w:rFonts w:ascii="Poppins" w:eastAsia="Times New Roman" w:hAnsi="Poppins" w:cs="Poppins"/>
                <w:color w:val="000000"/>
                <w:sz w:val="20"/>
                <w:szCs w:val="20"/>
                <w:lang w:val="en-GB"/>
              </w:rPr>
              <w:t>Percentuale della popolazione di età compresa tra 18 e 64 anni (esclusi gli individui coinvolti in qualsiasi fase dell'attività imprenditoriale) che prevede di avviare un'attività entro tre anni.</w:t>
            </w:r>
          </w:p>
        </w:tc>
      </w:tr>
      <w:tr w:rsidR="00D173AF" w:rsidRPr="008B346E" w14:paraId="00B580C4" w14:textId="77777777" w:rsidTr="00B74592">
        <w:trPr>
          <w:trHeight w:val="57"/>
        </w:trPr>
        <w:tc>
          <w:tcPr>
            <w:tcW w:w="0" w:type="auto"/>
            <w:tcMar>
              <w:left w:w="57" w:type="dxa"/>
              <w:right w:w="57" w:type="dxa"/>
            </w:tcMar>
            <w:hideMark/>
          </w:tcPr>
          <w:p w14:paraId="6AA898E0" w14:textId="77777777" w:rsidR="00D173AF" w:rsidRPr="008B346E" w:rsidRDefault="00D173AF" w:rsidP="00B74592">
            <w:pPr>
              <w:spacing w:after="0" w:line="240" w:lineRule="auto"/>
              <w:jc w:val="both"/>
              <w:rPr>
                <w:rFonts w:ascii="Poppins" w:eastAsia="Times New Roman" w:hAnsi="Poppins" w:cs="Poppins"/>
                <w:i/>
                <w:iCs/>
                <w:color w:val="000000"/>
                <w:sz w:val="20"/>
                <w:szCs w:val="20"/>
                <w:lang w:val="en-GB"/>
              </w:rPr>
            </w:pPr>
            <w:r w:rsidRPr="008B346E">
              <w:rPr>
                <w:rFonts w:ascii="Poppins" w:eastAsia="Times New Roman" w:hAnsi="Poppins" w:cs="Poppins"/>
                <w:i/>
                <w:iCs/>
                <w:color w:val="000000"/>
                <w:sz w:val="20"/>
                <w:szCs w:val="20"/>
                <w:lang w:val="en-GB"/>
              </w:rPr>
              <w:t>Tasso totale di attività imprenditoriale in fase iniziale (TEA)</w:t>
            </w:r>
          </w:p>
        </w:tc>
        <w:tc>
          <w:tcPr>
            <w:tcW w:w="0" w:type="auto"/>
            <w:tcMar>
              <w:left w:w="57" w:type="dxa"/>
              <w:right w:w="57" w:type="dxa"/>
            </w:tcMar>
            <w:hideMark/>
          </w:tcPr>
          <w:p w14:paraId="60FDB92B" w14:textId="77777777" w:rsidR="00D173AF" w:rsidRPr="008B346E" w:rsidRDefault="00D173AF" w:rsidP="00B74592">
            <w:pPr>
              <w:spacing w:after="0" w:line="240" w:lineRule="auto"/>
              <w:jc w:val="both"/>
              <w:rPr>
                <w:rFonts w:ascii="Poppins" w:eastAsia="Times New Roman" w:hAnsi="Poppins" w:cs="Poppins"/>
                <w:color w:val="000000"/>
                <w:sz w:val="20"/>
                <w:szCs w:val="20"/>
                <w:lang w:val="en-GB"/>
              </w:rPr>
            </w:pPr>
            <w:r w:rsidRPr="008B346E">
              <w:rPr>
                <w:rFonts w:ascii="Poppins" w:eastAsia="Times New Roman" w:hAnsi="Poppins" w:cs="Poppins"/>
                <w:color w:val="000000"/>
                <w:sz w:val="20"/>
                <w:szCs w:val="20"/>
                <w:lang w:val="en-GB"/>
              </w:rPr>
              <w:t>Percentuale della popolazione di età compresa tra 18 e 64 anni che è un imprenditore emergente o un proprietario-gestore di una nuova attività.</w:t>
            </w:r>
          </w:p>
        </w:tc>
      </w:tr>
      <w:tr w:rsidR="00D173AF" w:rsidRPr="008B346E" w14:paraId="1C883A2F" w14:textId="77777777" w:rsidTr="00B74592">
        <w:trPr>
          <w:trHeight w:val="57"/>
        </w:trPr>
        <w:tc>
          <w:tcPr>
            <w:tcW w:w="0" w:type="auto"/>
            <w:tcMar>
              <w:left w:w="57" w:type="dxa"/>
              <w:right w:w="57" w:type="dxa"/>
            </w:tcMar>
            <w:hideMark/>
          </w:tcPr>
          <w:p w14:paraId="4E198005" w14:textId="77777777" w:rsidR="00D173AF" w:rsidRPr="008B346E" w:rsidRDefault="00D173AF" w:rsidP="00B74592">
            <w:pPr>
              <w:spacing w:after="0" w:line="240" w:lineRule="auto"/>
              <w:jc w:val="both"/>
              <w:rPr>
                <w:rFonts w:ascii="Poppins" w:eastAsia="Times New Roman" w:hAnsi="Poppins" w:cs="Poppins"/>
                <w:i/>
                <w:iCs/>
                <w:color w:val="000000"/>
                <w:sz w:val="20"/>
                <w:szCs w:val="20"/>
                <w:lang w:val="en-GB"/>
              </w:rPr>
            </w:pPr>
            <w:r w:rsidRPr="008B346E">
              <w:rPr>
                <w:rFonts w:ascii="Poppins" w:eastAsia="Times New Roman" w:hAnsi="Poppins" w:cs="Poppins"/>
                <w:i/>
                <w:iCs/>
                <w:color w:val="000000"/>
                <w:sz w:val="20"/>
                <w:szCs w:val="20"/>
                <w:lang w:val="en-GB"/>
              </w:rPr>
              <w:t>Tasso di proprietà aziendale consolidato</w:t>
            </w:r>
          </w:p>
        </w:tc>
        <w:tc>
          <w:tcPr>
            <w:tcW w:w="0" w:type="auto"/>
            <w:tcMar>
              <w:left w:w="57" w:type="dxa"/>
              <w:right w:w="57" w:type="dxa"/>
            </w:tcMar>
            <w:hideMark/>
          </w:tcPr>
          <w:p w14:paraId="43512F16" w14:textId="77777777" w:rsidR="00D173AF" w:rsidRPr="008B346E" w:rsidRDefault="00D173AF" w:rsidP="00B74592">
            <w:pPr>
              <w:spacing w:after="0" w:line="240" w:lineRule="auto"/>
              <w:jc w:val="both"/>
              <w:rPr>
                <w:rFonts w:ascii="Poppins" w:eastAsia="Times New Roman" w:hAnsi="Poppins" w:cs="Poppins"/>
                <w:color w:val="000000"/>
                <w:sz w:val="20"/>
                <w:szCs w:val="20"/>
                <w:lang w:val="en-GB"/>
              </w:rPr>
            </w:pPr>
            <w:r w:rsidRPr="008B346E">
              <w:rPr>
                <w:rFonts w:ascii="Poppins" w:eastAsia="Times New Roman" w:hAnsi="Poppins" w:cs="Poppins"/>
                <w:color w:val="000000"/>
                <w:sz w:val="20"/>
                <w:szCs w:val="20"/>
                <w:lang w:val="en-GB"/>
              </w:rPr>
              <w:t>Percentuale della popolazione di età compresa tra 18 e 64 anni che gestisce un'attività consolidata attiva da oltre 42 mesi.</w:t>
            </w:r>
          </w:p>
        </w:tc>
      </w:tr>
      <w:tr w:rsidR="00D173AF" w:rsidRPr="008B346E" w14:paraId="60296369" w14:textId="77777777" w:rsidTr="00B74592">
        <w:trPr>
          <w:trHeight w:val="57"/>
        </w:trPr>
        <w:tc>
          <w:tcPr>
            <w:tcW w:w="0" w:type="auto"/>
            <w:tcMar>
              <w:left w:w="57" w:type="dxa"/>
              <w:right w:w="57" w:type="dxa"/>
            </w:tcMar>
            <w:hideMark/>
          </w:tcPr>
          <w:p w14:paraId="312CD2B9" w14:textId="77777777" w:rsidR="00D173AF" w:rsidRPr="008B346E" w:rsidRDefault="00D173AF" w:rsidP="00B74592">
            <w:pPr>
              <w:spacing w:after="0" w:line="240" w:lineRule="auto"/>
              <w:jc w:val="both"/>
              <w:rPr>
                <w:rFonts w:ascii="Poppins" w:eastAsia="Times New Roman" w:hAnsi="Poppins" w:cs="Poppins"/>
                <w:i/>
                <w:iCs/>
                <w:color w:val="000000"/>
                <w:sz w:val="20"/>
                <w:szCs w:val="20"/>
                <w:lang w:val="en-GB"/>
              </w:rPr>
            </w:pPr>
            <w:r w:rsidRPr="008B346E">
              <w:rPr>
                <w:rFonts w:ascii="Poppins" w:eastAsia="Times New Roman" w:hAnsi="Poppins" w:cs="Poppins"/>
                <w:i/>
                <w:iCs/>
                <w:color w:val="000000"/>
                <w:sz w:val="20"/>
                <w:szCs w:val="20"/>
                <w:lang w:val="en-GB"/>
              </w:rPr>
              <w:t>Tasso di attività imprenditoriale dei dipendenti</w:t>
            </w:r>
          </w:p>
        </w:tc>
        <w:tc>
          <w:tcPr>
            <w:tcW w:w="0" w:type="auto"/>
            <w:tcMar>
              <w:left w:w="57" w:type="dxa"/>
              <w:right w:w="57" w:type="dxa"/>
            </w:tcMar>
            <w:hideMark/>
          </w:tcPr>
          <w:p w14:paraId="1F9CDF25" w14:textId="77777777" w:rsidR="00D173AF" w:rsidRPr="008B346E" w:rsidRDefault="00D173AF" w:rsidP="00B74592">
            <w:pPr>
              <w:spacing w:after="0" w:line="240" w:lineRule="auto"/>
              <w:jc w:val="both"/>
              <w:rPr>
                <w:rFonts w:ascii="Poppins" w:eastAsia="Times New Roman" w:hAnsi="Poppins" w:cs="Poppins"/>
                <w:color w:val="000000"/>
                <w:sz w:val="20"/>
                <w:szCs w:val="20"/>
                <w:lang w:val="en-GB"/>
              </w:rPr>
            </w:pPr>
            <w:r w:rsidRPr="008B346E">
              <w:rPr>
                <w:rFonts w:ascii="Poppins" w:eastAsia="Times New Roman" w:hAnsi="Poppins" w:cs="Poppins"/>
                <w:color w:val="000000"/>
                <w:sz w:val="20"/>
                <w:szCs w:val="20"/>
                <w:lang w:val="en-GB"/>
              </w:rPr>
              <w:t>Tasso di coinvolgimento dei dipendenti in attività imprenditoriali come il lancio di nuovi beni/servizi o la creazione di unità aziendali.</w:t>
            </w:r>
          </w:p>
        </w:tc>
      </w:tr>
      <w:tr w:rsidR="00D173AF" w:rsidRPr="008B346E" w14:paraId="0D6C27D4" w14:textId="77777777" w:rsidTr="00B74592">
        <w:trPr>
          <w:trHeight w:val="57"/>
        </w:trPr>
        <w:tc>
          <w:tcPr>
            <w:tcW w:w="0" w:type="auto"/>
            <w:tcMar>
              <w:left w:w="57" w:type="dxa"/>
              <w:right w:w="57" w:type="dxa"/>
            </w:tcMar>
            <w:hideMark/>
          </w:tcPr>
          <w:p w14:paraId="2ED78C3C" w14:textId="77777777" w:rsidR="00D173AF" w:rsidRPr="008B346E" w:rsidRDefault="00D173AF" w:rsidP="00B74592">
            <w:pPr>
              <w:spacing w:after="0" w:line="240" w:lineRule="auto"/>
              <w:jc w:val="both"/>
              <w:rPr>
                <w:rFonts w:ascii="Poppins" w:eastAsia="Times New Roman" w:hAnsi="Poppins" w:cs="Poppins"/>
                <w:i/>
                <w:iCs/>
                <w:color w:val="000000"/>
                <w:sz w:val="20"/>
                <w:szCs w:val="20"/>
                <w:lang w:val="en-GB"/>
              </w:rPr>
            </w:pPr>
            <w:r w:rsidRPr="008B346E">
              <w:rPr>
                <w:rFonts w:ascii="Poppins" w:eastAsia="Times New Roman" w:hAnsi="Poppins" w:cs="Poppins"/>
                <w:i/>
                <w:iCs/>
                <w:color w:val="000000"/>
                <w:sz w:val="20"/>
                <w:szCs w:val="20"/>
                <w:lang w:val="en-GB"/>
              </w:rPr>
              <w:t>Indice motivazionale</w:t>
            </w:r>
          </w:p>
        </w:tc>
        <w:tc>
          <w:tcPr>
            <w:tcW w:w="0" w:type="auto"/>
            <w:tcMar>
              <w:left w:w="57" w:type="dxa"/>
              <w:right w:w="57" w:type="dxa"/>
            </w:tcMar>
            <w:hideMark/>
          </w:tcPr>
          <w:p w14:paraId="1E2BB284" w14:textId="77777777" w:rsidR="00D173AF" w:rsidRPr="008B346E" w:rsidRDefault="00D173AF" w:rsidP="00B74592">
            <w:pPr>
              <w:spacing w:after="0" w:line="240" w:lineRule="auto"/>
              <w:jc w:val="both"/>
              <w:rPr>
                <w:rFonts w:ascii="Poppins" w:eastAsia="Times New Roman" w:hAnsi="Poppins" w:cs="Poppins"/>
                <w:color w:val="000000"/>
                <w:sz w:val="20"/>
                <w:szCs w:val="20"/>
                <w:lang w:val="en-GB"/>
              </w:rPr>
            </w:pPr>
            <w:r w:rsidRPr="008B346E">
              <w:rPr>
                <w:rFonts w:ascii="Poppins" w:eastAsia="Times New Roman" w:hAnsi="Poppins" w:cs="Poppins"/>
                <w:color w:val="000000"/>
                <w:sz w:val="20"/>
                <w:szCs w:val="20"/>
                <w:lang w:val="en-GB"/>
              </w:rPr>
              <w:t>Rapporto tra i partecipanti al TEA spinti dalle opportunità di miglioramento e quelli motivati dalla necessità.</w:t>
            </w:r>
          </w:p>
        </w:tc>
      </w:tr>
      <w:tr w:rsidR="00D173AF" w:rsidRPr="008B346E" w14:paraId="01BBED3E" w14:textId="77777777" w:rsidTr="00B74592">
        <w:trPr>
          <w:trHeight w:val="57"/>
        </w:trPr>
        <w:tc>
          <w:tcPr>
            <w:tcW w:w="0" w:type="auto"/>
            <w:tcMar>
              <w:left w:w="57" w:type="dxa"/>
              <w:right w:w="57" w:type="dxa"/>
            </w:tcMar>
            <w:hideMark/>
          </w:tcPr>
          <w:p w14:paraId="0940BA7F" w14:textId="77777777" w:rsidR="00D173AF" w:rsidRPr="008B346E" w:rsidRDefault="00D173AF" w:rsidP="00B74592">
            <w:pPr>
              <w:spacing w:after="0" w:line="240" w:lineRule="auto"/>
              <w:jc w:val="both"/>
              <w:rPr>
                <w:rFonts w:ascii="Poppins" w:eastAsia="Times New Roman" w:hAnsi="Poppins" w:cs="Poppins"/>
                <w:i/>
                <w:iCs/>
                <w:color w:val="000000"/>
                <w:sz w:val="20"/>
                <w:szCs w:val="20"/>
                <w:lang w:val="en-GB"/>
              </w:rPr>
            </w:pPr>
            <w:r w:rsidRPr="008B346E">
              <w:rPr>
                <w:rFonts w:ascii="Poppins" w:eastAsia="Times New Roman" w:hAnsi="Poppins" w:cs="Poppins"/>
                <w:i/>
                <w:iCs/>
                <w:color w:val="000000"/>
                <w:sz w:val="20"/>
                <w:szCs w:val="20"/>
                <w:lang w:val="en-GB"/>
              </w:rPr>
              <w:t>Rapporto TEA donne/uomini</w:t>
            </w:r>
          </w:p>
        </w:tc>
        <w:tc>
          <w:tcPr>
            <w:tcW w:w="0" w:type="auto"/>
            <w:tcMar>
              <w:left w:w="57" w:type="dxa"/>
              <w:right w:w="57" w:type="dxa"/>
            </w:tcMar>
            <w:hideMark/>
          </w:tcPr>
          <w:p w14:paraId="133F62BF" w14:textId="77777777" w:rsidR="00D173AF" w:rsidRPr="008B346E" w:rsidRDefault="00D173AF" w:rsidP="00B74592">
            <w:pPr>
              <w:spacing w:after="0" w:line="240" w:lineRule="auto"/>
              <w:jc w:val="both"/>
              <w:rPr>
                <w:rFonts w:ascii="Poppins" w:eastAsia="Times New Roman" w:hAnsi="Poppins" w:cs="Poppins"/>
                <w:color w:val="000000"/>
                <w:sz w:val="20"/>
                <w:szCs w:val="20"/>
                <w:lang w:val="en-GB"/>
              </w:rPr>
            </w:pPr>
            <w:r w:rsidRPr="008B346E">
              <w:rPr>
                <w:rFonts w:ascii="Poppins" w:eastAsia="Times New Roman" w:hAnsi="Poppins" w:cs="Poppins"/>
                <w:color w:val="000000"/>
                <w:sz w:val="20"/>
                <w:szCs w:val="20"/>
                <w:lang w:val="en-GB"/>
              </w:rPr>
              <w:t>Rapporto tra la partecipazione femminile e quella maschile alle attività imprenditoriali in fase iniziale.</w:t>
            </w:r>
          </w:p>
        </w:tc>
      </w:tr>
      <w:tr w:rsidR="00D173AF" w:rsidRPr="008B346E" w14:paraId="568A2BEF" w14:textId="77777777" w:rsidTr="00B74592">
        <w:trPr>
          <w:trHeight w:val="57"/>
        </w:trPr>
        <w:tc>
          <w:tcPr>
            <w:tcW w:w="0" w:type="auto"/>
            <w:tcMar>
              <w:left w:w="57" w:type="dxa"/>
              <w:right w:w="57" w:type="dxa"/>
            </w:tcMar>
            <w:hideMark/>
          </w:tcPr>
          <w:p w14:paraId="21890B50" w14:textId="77777777" w:rsidR="00D173AF" w:rsidRPr="008B346E" w:rsidRDefault="00D173AF" w:rsidP="00B74592">
            <w:pPr>
              <w:spacing w:after="0" w:line="240" w:lineRule="auto"/>
              <w:jc w:val="both"/>
              <w:rPr>
                <w:rFonts w:ascii="Poppins" w:eastAsia="Times New Roman" w:hAnsi="Poppins" w:cs="Poppins"/>
                <w:i/>
                <w:iCs/>
                <w:color w:val="000000"/>
                <w:sz w:val="20"/>
                <w:szCs w:val="20"/>
                <w:lang w:val="en-GB"/>
              </w:rPr>
            </w:pPr>
            <w:r w:rsidRPr="008B346E">
              <w:rPr>
                <w:rFonts w:ascii="Poppins" w:eastAsia="Times New Roman" w:hAnsi="Poppins" w:cs="Poppins"/>
                <w:i/>
                <w:iCs/>
                <w:color w:val="000000"/>
                <w:sz w:val="20"/>
                <w:szCs w:val="20"/>
                <w:lang w:val="en-GB"/>
              </w:rPr>
              <w:t>Rapporto TEA basato sulle opportunità tra donne e uomini</w:t>
            </w:r>
          </w:p>
        </w:tc>
        <w:tc>
          <w:tcPr>
            <w:tcW w:w="0" w:type="auto"/>
            <w:tcMar>
              <w:left w:w="57" w:type="dxa"/>
              <w:right w:w="57" w:type="dxa"/>
            </w:tcMar>
            <w:hideMark/>
          </w:tcPr>
          <w:p w14:paraId="2183C0DA" w14:textId="77777777" w:rsidR="00D173AF" w:rsidRPr="008B346E" w:rsidRDefault="00D173AF" w:rsidP="00B74592">
            <w:pPr>
              <w:spacing w:after="0" w:line="240" w:lineRule="auto"/>
              <w:jc w:val="both"/>
              <w:rPr>
                <w:rFonts w:ascii="Poppins" w:eastAsia="Times New Roman" w:hAnsi="Poppins" w:cs="Poppins"/>
                <w:color w:val="000000"/>
                <w:sz w:val="20"/>
                <w:szCs w:val="20"/>
                <w:lang w:val="en-GB"/>
              </w:rPr>
            </w:pPr>
            <w:r w:rsidRPr="008B346E">
              <w:rPr>
                <w:rFonts w:ascii="Poppins" w:eastAsia="Times New Roman" w:hAnsi="Poppins" w:cs="Poppins"/>
                <w:color w:val="000000"/>
                <w:sz w:val="20"/>
                <w:szCs w:val="20"/>
                <w:lang w:val="en-GB"/>
              </w:rPr>
              <w:t>Rapporto tra donne e uomini che partecipano al TEA spinto dall'opportunità piuttosto che dalla necessità.</w:t>
            </w:r>
          </w:p>
        </w:tc>
      </w:tr>
      <w:tr w:rsidR="00D173AF" w:rsidRPr="008B346E" w14:paraId="0E5DA8DA" w14:textId="77777777" w:rsidTr="00B74592">
        <w:trPr>
          <w:trHeight w:val="57"/>
        </w:trPr>
        <w:tc>
          <w:tcPr>
            <w:tcW w:w="0" w:type="auto"/>
            <w:tcMar>
              <w:left w:w="57" w:type="dxa"/>
              <w:right w:w="57" w:type="dxa"/>
            </w:tcMar>
            <w:hideMark/>
          </w:tcPr>
          <w:p w14:paraId="0DC44745" w14:textId="77777777" w:rsidR="00D173AF" w:rsidRPr="008B346E" w:rsidRDefault="00D173AF" w:rsidP="00B74592">
            <w:pPr>
              <w:spacing w:after="0" w:line="240" w:lineRule="auto"/>
              <w:jc w:val="both"/>
              <w:rPr>
                <w:rFonts w:ascii="Poppins" w:eastAsia="Times New Roman" w:hAnsi="Poppins" w:cs="Poppins"/>
                <w:i/>
                <w:iCs/>
                <w:color w:val="000000"/>
                <w:sz w:val="20"/>
                <w:szCs w:val="20"/>
                <w:lang w:val="en-GB"/>
              </w:rPr>
            </w:pPr>
            <w:r w:rsidRPr="008B346E">
              <w:rPr>
                <w:rFonts w:ascii="Poppins" w:eastAsia="Times New Roman" w:hAnsi="Poppins" w:cs="Poppins"/>
                <w:i/>
                <w:iCs/>
                <w:color w:val="000000"/>
                <w:sz w:val="20"/>
                <w:szCs w:val="20"/>
                <w:lang w:val="en-GB"/>
              </w:rPr>
              <w:t>Alto tasso di aspettativa di creazione di posti di lavoro</w:t>
            </w:r>
          </w:p>
        </w:tc>
        <w:tc>
          <w:tcPr>
            <w:tcW w:w="0" w:type="auto"/>
            <w:tcMar>
              <w:left w:w="57" w:type="dxa"/>
              <w:right w:w="57" w:type="dxa"/>
            </w:tcMar>
            <w:hideMark/>
          </w:tcPr>
          <w:p w14:paraId="3DEED492" w14:textId="77777777" w:rsidR="00D173AF" w:rsidRPr="008B346E" w:rsidRDefault="00D173AF" w:rsidP="00B74592">
            <w:pPr>
              <w:spacing w:after="0" w:line="240" w:lineRule="auto"/>
              <w:jc w:val="both"/>
              <w:rPr>
                <w:rFonts w:ascii="Poppins" w:eastAsia="Times New Roman" w:hAnsi="Poppins" w:cs="Poppins"/>
                <w:color w:val="000000"/>
                <w:sz w:val="20"/>
                <w:szCs w:val="20"/>
                <w:lang w:val="en-GB"/>
              </w:rPr>
            </w:pPr>
            <w:r w:rsidRPr="008B346E">
              <w:rPr>
                <w:rFonts w:ascii="Poppins" w:eastAsia="Times New Roman" w:hAnsi="Poppins" w:cs="Poppins"/>
                <w:color w:val="000000"/>
                <w:sz w:val="20"/>
                <w:szCs w:val="20"/>
                <w:lang w:val="en-GB"/>
              </w:rPr>
              <w:t>Percentuale dei partecipanti al TEA che prevedono di creare sei o più posti di lavoro in cinque anni.</w:t>
            </w:r>
          </w:p>
        </w:tc>
      </w:tr>
      <w:tr w:rsidR="00D173AF" w:rsidRPr="008B346E" w14:paraId="70F0A261" w14:textId="77777777" w:rsidTr="00B74592">
        <w:trPr>
          <w:trHeight w:val="57"/>
        </w:trPr>
        <w:tc>
          <w:tcPr>
            <w:tcW w:w="0" w:type="auto"/>
            <w:tcMar>
              <w:left w:w="57" w:type="dxa"/>
              <w:right w:w="57" w:type="dxa"/>
            </w:tcMar>
            <w:hideMark/>
          </w:tcPr>
          <w:p w14:paraId="3A23756F" w14:textId="77777777" w:rsidR="00D173AF" w:rsidRPr="008B346E" w:rsidRDefault="00D173AF" w:rsidP="00B74592">
            <w:pPr>
              <w:spacing w:after="0" w:line="240" w:lineRule="auto"/>
              <w:jc w:val="both"/>
              <w:rPr>
                <w:rFonts w:ascii="Poppins" w:eastAsia="Times New Roman" w:hAnsi="Poppins" w:cs="Poppins"/>
                <w:i/>
                <w:iCs/>
                <w:color w:val="000000"/>
                <w:sz w:val="20"/>
                <w:szCs w:val="20"/>
                <w:lang w:val="en-GB"/>
              </w:rPr>
            </w:pPr>
            <w:r w:rsidRPr="008B346E">
              <w:rPr>
                <w:rFonts w:ascii="Poppins" w:eastAsia="Times New Roman" w:hAnsi="Poppins" w:cs="Poppins"/>
                <w:i/>
                <w:iCs/>
                <w:color w:val="000000"/>
                <w:sz w:val="20"/>
                <w:szCs w:val="20"/>
                <w:lang w:val="en-GB"/>
              </w:rPr>
              <w:t>Tasso di innovazione</w:t>
            </w:r>
          </w:p>
        </w:tc>
        <w:tc>
          <w:tcPr>
            <w:tcW w:w="0" w:type="auto"/>
            <w:tcMar>
              <w:left w:w="57" w:type="dxa"/>
              <w:right w:w="57" w:type="dxa"/>
            </w:tcMar>
            <w:hideMark/>
          </w:tcPr>
          <w:p w14:paraId="7D5CECAD" w14:textId="77777777" w:rsidR="00D173AF" w:rsidRPr="008B346E" w:rsidRDefault="00D173AF" w:rsidP="00B74592">
            <w:pPr>
              <w:spacing w:after="0" w:line="240" w:lineRule="auto"/>
              <w:jc w:val="both"/>
              <w:rPr>
                <w:rFonts w:ascii="Poppins" w:eastAsia="Times New Roman" w:hAnsi="Poppins" w:cs="Poppins"/>
                <w:color w:val="000000"/>
                <w:sz w:val="20"/>
                <w:szCs w:val="20"/>
                <w:lang w:val="en-GB"/>
              </w:rPr>
            </w:pPr>
            <w:r w:rsidRPr="008B346E">
              <w:rPr>
                <w:rFonts w:ascii="Poppins" w:eastAsia="Times New Roman" w:hAnsi="Poppins" w:cs="Poppins"/>
                <w:color w:val="000000"/>
                <w:sz w:val="20"/>
                <w:szCs w:val="20"/>
                <w:lang w:val="en-GB"/>
              </w:rPr>
              <w:t>Percentuale di partecipanti al TEA che offrono prodotti/servizi nuovi ai clienti con pochi o nessun concorrente.</w:t>
            </w:r>
          </w:p>
        </w:tc>
      </w:tr>
      <w:tr w:rsidR="00D173AF" w:rsidRPr="008B346E" w14:paraId="37B18276" w14:textId="77777777" w:rsidTr="00B74592">
        <w:trPr>
          <w:trHeight w:val="57"/>
        </w:trPr>
        <w:tc>
          <w:tcPr>
            <w:tcW w:w="0" w:type="auto"/>
            <w:tcMar>
              <w:left w:w="57" w:type="dxa"/>
              <w:right w:w="57" w:type="dxa"/>
            </w:tcMar>
            <w:hideMark/>
          </w:tcPr>
          <w:p w14:paraId="5A92550E" w14:textId="77777777" w:rsidR="00D173AF" w:rsidRPr="008B346E" w:rsidRDefault="00D173AF" w:rsidP="00B74592">
            <w:pPr>
              <w:spacing w:after="0" w:line="240" w:lineRule="auto"/>
              <w:jc w:val="both"/>
              <w:rPr>
                <w:rFonts w:ascii="Poppins" w:eastAsia="Times New Roman" w:hAnsi="Poppins" w:cs="Poppins"/>
                <w:i/>
                <w:iCs/>
                <w:color w:val="000000"/>
                <w:sz w:val="20"/>
                <w:szCs w:val="20"/>
                <w:lang w:val="en-GB"/>
              </w:rPr>
            </w:pPr>
            <w:r w:rsidRPr="008B346E">
              <w:rPr>
                <w:rFonts w:ascii="Poppins" w:eastAsia="Times New Roman" w:hAnsi="Poppins" w:cs="Poppins"/>
                <w:i/>
                <w:iCs/>
                <w:color w:val="000000"/>
                <w:sz w:val="20"/>
                <w:szCs w:val="20"/>
                <w:lang w:val="en-GB"/>
              </w:rPr>
              <w:t>Tasso del settore dei servizi alle imprese</w:t>
            </w:r>
          </w:p>
        </w:tc>
        <w:tc>
          <w:tcPr>
            <w:tcW w:w="0" w:type="auto"/>
            <w:tcMar>
              <w:left w:w="57" w:type="dxa"/>
              <w:right w:w="57" w:type="dxa"/>
            </w:tcMar>
            <w:hideMark/>
          </w:tcPr>
          <w:p w14:paraId="3AD5D0A1" w14:textId="77777777" w:rsidR="00D173AF" w:rsidRPr="008B346E" w:rsidRDefault="00D173AF" w:rsidP="00B74592">
            <w:pPr>
              <w:spacing w:after="0" w:line="240" w:lineRule="auto"/>
              <w:jc w:val="both"/>
              <w:rPr>
                <w:rFonts w:ascii="Poppins" w:eastAsia="Times New Roman" w:hAnsi="Poppins" w:cs="Poppins"/>
                <w:color w:val="000000"/>
                <w:sz w:val="20"/>
                <w:szCs w:val="20"/>
                <w:lang w:val="en-GB"/>
              </w:rPr>
            </w:pPr>
            <w:r w:rsidRPr="008B346E">
              <w:rPr>
                <w:rFonts w:ascii="Poppins" w:eastAsia="Times New Roman" w:hAnsi="Poppins" w:cs="Poppins"/>
                <w:color w:val="000000"/>
                <w:sz w:val="20"/>
                <w:szCs w:val="20"/>
                <w:lang w:val="en-GB"/>
              </w:rPr>
              <w:t>Percentuale di partecipanti al TEA che operano nel settore dei servizi alle imprese (ad esempio, IT, finanza, immobiliare, servizi professionali).</w:t>
            </w:r>
          </w:p>
        </w:tc>
      </w:tr>
      <w:tr w:rsidR="00D173AF" w:rsidRPr="008B346E" w14:paraId="39A5A9F3" w14:textId="77777777" w:rsidTr="00B74592">
        <w:trPr>
          <w:trHeight w:val="57"/>
        </w:trPr>
        <w:tc>
          <w:tcPr>
            <w:tcW w:w="0" w:type="auto"/>
            <w:tcMar>
              <w:left w:w="57" w:type="dxa"/>
              <w:right w:w="57" w:type="dxa"/>
            </w:tcMar>
            <w:hideMark/>
          </w:tcPr>
          <w:p w14:paraId="2FE6B7C5" w14:textId="77777777" w:rsidR="00D173AF" w:rsidRPr="008B346E" w:rsidRDefault="00D173AF" w:rsidP="00B74592">
            <w:pPr>
              <w:spacing w:after="0" w:line="240" w:lineRule="auto"/>
              <w:jc w:val="both"/>
              <w:rPr>
                <w:rFonts w:ascii="Poppins" w:eastAsia="Times New Roman" w:hAnsi="Poppins" w:cs="Poppins"/>
                <w:i/>
                <w:iCs/>
                <w:color w:val="000000"/>
                <w:sz w:val="20"/>
                <w:szCs w:val="20"/>
                <w:lang w:val="en-GB"/>
              </w:rPr>
            </w:pPr>
            <w:r w:rsidRPr="008B346E">
              <w:rPr>
                <w:rFonts w:ascii="Poppins" w:eastAsia="Times New Roman" w:hAnsi="Poppins" w:cs="Poppins"/>
                <w:i/>
                <w:iCs/>
                <w:color w:val="000000"/>
                <w:sz w:val="20"/>
                <w:szCs w:val="20"/>
                <w:lang w:val="en-GB"/>
              </w:rPr>
              <w:t>Tasso di status elevato per gli imprenditori di successo</w:t>
            </w:r>
          </w:p>
        </w:tc>
        <w:tc>
          <w:tcPr>
            <w:tcW w:w="0" w:type="auto"/>
            <w:tcMar>
              <w:left w:w="57" w:type="dxa"/>
              <w:right w:w="57" w:type="dxa"/>
            </w:tcMar>
            <w:hideMark/>
          </w:tcPr>
          <w:p w14:paraId="4124BE4F" w14:textId="77777777" w:rsidR="00D173AF" w:rsidRPr="008B346E" w:rsidRDefault="00D173AF" w:rsidP="00B74592">
            <w:pPr>
              <w:spacing w:after="0" w:line="240" w:lineRule="auto"/>
              <w:jc w:val="both"/>
              <w:rPr>
                <w:rFonts w:ascii="Poppins" w:eastAsia="Times New Roman" w:hAnsi="Poppins" w:cs="Poppins"/>
                <w:color w:val="000000"/>
                <w:sz w:val="20"/>
                <w:szCs w:val="20"/>
                <w:lang w:val="en-GB"/>
              </w:rPr>
            </w:pPr>
            <w:r w:rsidRPr="008B346E">
              <w:rPr>
                <w:rFonts w:ascii="Poppins" w:eastAsia="Times New Roman" w:hAnsi="Poppins" w:cs="Poppins"/>
                <w:color w:val="000000"/>
                <w:sz w:val="20"/>
                <w:szCs w:val="20"/>
                <w:lang w:val="en-GB"/>
              </w:rPr>
              <w:t>Percentuale della popolazione di età compresa tra 18 e 64 anni che ritiene che gli imprenditori di successo godano di un elevato status nel loro Paese.</w:t>
            </w:r>
          </w:p>
        </w:tc>
      </w:tr>
      <w:tr w:rsidR="00D173AF" w:rsidRPr="008B346E" w14:paraId="2EAEFA3B" w14:textId="77777777" w:rsidTr="00B74592">
        <w:trPr>
          <w:trHeight w:val="57"/>
        </w:trPr>
        <w:tc>
          <w:tcPr>
            <w:tcW w:w="0" w:type="auto"/>
            <w:tcMar>
              <w:left w:w="57" w:type="dxa"/>
              <w:right w:w="57" w:type="dxa"/>
            </w:tcMar>
            <w:hideMark/>
          </w:tcPr>
          <w:p w14:paraId="2375B389" w14:textId="77777777" w:rsidR="00D173AF" w:rsidRPr="008B346E" w:rsidRDefault="00D173AF" w:rsidP="00B74592">
            <w:pPr>
              <w:spacing w:after="0" w:line="240" w:lineRule="auto"/>
              <w:jc w:val="both"/>
              <w:rPr>
                <w:rFonts w:ascii="Poppins" w:eastAsia="Times New Roman" w:hAnsi="Poppins" w:cs="Poppins"/>
                <w:i/>
                <w:iCs/>
                <w:color w:val="000000"/>
                <w:sz w:val="20"/>
                <w:szCs w:val="20"/>
                <w:lang w:val="en-GB"/>
              </w:rPr>
            </w:pPr>
            <w:r w:rsidRPr="008B346E">
              <w:rPr>
                <w:rFonts w:ascii="Poppins" w:eastAsia="Times New Roman" w:hAnsi="Poppins" w:cs="Poppins"/>
                <w:i/>
                <w:iCs/>
                <w:color w:val="000000"/>
                <w:sz w:val="20"/>
                <w:szCs w:val="20"/>
                <w:lang w:val="en-GB"/>
              </w:rPr>
              <w:t>L'imprenditorialità come buona scelta di carriera</w:t>
            </w:r>
          </w:p>
        </w:tc>
        <w:tc>
          <w:tcPr>
            <w:tcW w:w="0" w:type="auto"/>
            <w:tcMar>
              <w:left w:w="57" w:type="dxa"/>
              <w:right w:w="57" w:type="dxa"/>
            </w:tcMar>
            <w:hideMark/>
          </w:tcPr>
          <w:p w14:paraId="75754397" w14:textId="77777777" w:rsidR="00D173AF" w:rsidRPr="008B346E" w:rsidRDefault="00D173AF" w:rsidP="00B74592">
            <w:pPr>
              <w:spacing w:after="0" w:line="240" w:lineRule="auto"/>
              <w:jc w:val="both"/>
              <w:rPr>
                <w:rFonts w:ascii="Poppins" w:eastAsia="Times New Roman" w:hAnsi="Poppins" w:cs="Poppins"/>
                <w:color w:val="000000"/>
                <w:sz w:val="20"/>
                <w:szCs w:val="20"/>
                <w:lang w:val="en-GB"/>
              </w:rPr>
            </w:pPr>
            <w:r w:rsidRPr="008B346E">
              <w:rPr>
                <w:rFonts w:ascii="Poppins" w:eastAsia="Times New Roman" w:hAnsi="Poppins" w:cs="Poppins"/>
                <w:color w:val="000000"/>
                <w:sz w:val="20"/>
                <w:szCs w:val="20"/>
                <w:lang w:val="en-GB"/>
              </w:rPr>
              <w:t>Percentuale della popolazione di età compresa tra 18 e 64 anni che considera l'avvio di un'attività imprenditoriale una scelta di carriera desiderabile.</w:t>
            </w:r>
          </w:p>
        </w:tc>
      </w:tr>
    </w:tbl>
    <w:p w14:paraId="09C28560" w14:textId="77777777" w:rsidR="00D173AF" w:rsidRPr="008B346E" w:rsidRDefault="00D173AF" w:rsidP="00D173AF">
      <w:pPr>
        <w:jc w:val="both"/>
        <w:rPr>
          <w:rFonts w:ascii="Poppins" w:hAnsi="Poppins" w:cs="Poppins"/>
          <w:sz w:val="20"/>
          <w:szCs w:val="20"/>
          <w:lang w:val="en-GB"/>
        </w:rPr>
      </w:pPr>
    </w:p>
    <w:p w14:paraId="0683627C" w14:textId="77777777" w:rsidR="00D173AF" w:rsidRPr="008B346E" w:rsidRDefault="00D173AF" w:rsidP="00D173AF">
      <w:pPr>
        <w:pStyle w:val="Didascalia"/>
        <w:rPr>
          <w:rFonts w:ascii="Poppins" w:hAnsi="Poppins" w:cs="Poppins"/>
          <w:szCs w:val="20"/>
          <w:lang w:val="en-GB"/>
        </w:rPr>
      </w:pPr>
      <w:r w:rsidRPr="008B346E">
        <w:rPr>
          <w:rFonts w:ascii="Poppins" w:hAnsi="Poppins" w:cs="Poppins"/>
          <w:szCs w:val="20"/>
          <w:lang w:val="en-GB"/>
        </w:rPr>
        <w:t xml:space="preserve">Tabella </w:t>
      </w:r>
      <w:r w:rsidRPr="008B346E">
        <w:rPr>
          <w:rFonts w:ascii="Poppins" w:hAnsi="Poppins" w:cs="Poppins"/>
          <w:noProof/>
          <w:szCs w:val="20"/>
          <w:lang w:val="en-GB"/>
        </w:rPr>
        <w:t xml:space="preserve">16 </w:t>
      </w:r>
      <w:r w:rsidRPr="008B346E">
        <w:rPr>
          <w:rFonts w:ascii="Poppins" w:hAnsi="Poppins" w:cs="Poppins"/>
          <w:szCs w:val="20"/>
          <w:lang w:val="en-GB"/>
        </w:rPr>
        <w:t>- Condizioni quadro imprenditoriali. Fonte: Global Entrepreneurship Monitor (gemconsortium.org)</w:t>
      </w:r>
    </w:p>
    <w:tbl>
      <w:tblPr>
        <w:tblStyle w:val="Grigliatabella"/>
        <w:tblW w:w="0" w:type="auto"/>
        <w:tblInd w:w="0" w:type="dxa"/>
        <w:tblLook w:val="04A0" w:firstRow="1" w:lastRow="0" w:firstColumn="1" w:lastColumn="0" w:noHBand="0" w:noVBand="1"/>
      </w:tblPr>
      <w:tblGrid>
        <w:gridCol w:w="3360"/>
        <w:gridCol w:w="6268"/>
      </w:tblGrid>
      <w:tr w:rsidR="00D173AF" w:rsidRPr="008B346E" w14:paraId="304A332E" w14:textId="77777777" w:rsidTr="00B74592">
        <w:trPr>
          <w:trHeight w:val="57"/>
        </w:trPr>
        <w:tc>
          <w:tcPr>
            <w:tcW w:w="0" w:type="auto"/>
            <w:tcMar>
              <w:left w:w="57" w:type="dxa"/>
              <w:right w:w="57" w:type="dxa"/>
            </w:tcMar>
            <w:hideMark/>
          </w:tcPr>
          <w:p w14:paraId="7965E1C5" w14:textId="77777777" w:rsidR="00D173AF" w:rsidRPr="008B346E" w:rsidRDefault="00D173AF" w:rsidP="00B74592">
            <w:pPr>
              <w:jc w:val="both"/>
              <w:rPr>
                <w:rFonts w:ascii="Poppins" w:hAnsi="Poppins" w:cs="Poppins"/>
                <w:b/>
                <w:bCs/>
                <w:lang w:val="en-GB"/>
              </w:rPr>
            </w:pPr>
            <w:r w:rsidRPr="008B346E">
              <w:rPr>
                <w:rFonts w:ascii="Poppins" w:hAnsi="Poppins" w:cs="Poppins"/>
                <w:b/>
                <w:bCs/>
                <w:lang w:val="en-GB"/>
              </w:rPr>
              <w:t>Indicatore</w:t>
            </w:r>
          </w:p>
        </w:tc>
        <w:tc>
          <w:tcPr>
            <w:tcW w:w="0" w:type="auto"/>
            <w:tcMar>
              <w:left w:w="57" w:type="dxa"/>
              <w:right w:w="57" w:type="dxa"/>
            </w:tcMar>
            <w:hideMark/>
          </w:tcPr>
          <w:p w14:paraId="549341A5" w14:textId="77777777" w:rsidR="00D173AF" w:rsidRPr="008B346E" w:rsidRDefault="00D173AF" w:rsidP="00B74592">
            <w:pPr>
              <w:jc w:val="both"/>
              <w:rPr>
                <w:rFonts w:ascii="Poppins" w:hAnsi="Poppins" w:cs="Poppins"/>
                <w:b/>
                <w:bCs/>
                <w:lang w:val="en-GB"/>
              </w:rPr>
            </w:pPr>
            <w:r w:rsidRPr="008B346E">
              <w:rPr>
                <w:rFonts w:ascii="Poppins" w:hAnsi="Poppins" w:cs="Poppins"/>
                <w:b/>
                <w:bCs/>
                <w:lang w:val="en-GB"/>
              </w:rPr>
              <w:t>Descrizione</w:t>
            </w:r>
          </w:p>
        </w:tc>
      </w:tr>
      <w:tr w:rsidR="00D173AF" w:rsidRPr="008B346E" w14:paraId="3C1E75FF" w14:textId="77777777" w:rsidTr="00B74592">
        <w:trPr>
          <w:trHeight w:val="57"/>
        </w:trPr>
        <w:tc>
          <w:tcPr>
            <w:tcW w:w="0" w:type="auto"/>
            <w:tcMar>
              <w:left w:w="57" w:type="dxa"/>
              <w:right w:w="57" w:type="dxa"/>
            </w:tcMar>
            <w:hideMark/>
          </w:tcPr>
          <w:p w14:paraId="299A3631"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Finanza imprenditoriale</w:t>
            </w:r>
          </w:p>
        </w:tc>
        <w:tc>
          <w:tcPr>
            <w:tcW w:w="0" w:type="auto"/>
            <w:tcMar>
              <w:left w:w="57" w:type="dxa"/>
              <w:right w:w="57" w:type="dxa"/>
            </w:tcMar>
            <w:hideMark/>
          </w:tcPr>
          <w:p w14:paraId="1C1DBE69" w14:textId="77777777" w:rsidR="00D173AF" w:rsidRPr="008B346E" w:rsidRDefault="00D173AF" w:rsidP="00B74592">
            <w:pPr>
              <w:jc w:val="both"/>
              <w:rPr>
                <w:rFonts w:ascii="Poppins" w:hAnsi="Poppins" w:cs="Poppins"/>
                <w:lang w:val="en-GB"/>
              </w:rPr>
            </w:pPr>
            <w:r w:rsidRPr="008B346E">
              <w:rPr>
                <w:rFonts w:ascii="Poppins" w:hAnsi="Poppins" w:cs="Poppins"/>
                <w:lang w:val="en-GB"/>
              </w:rPr>
              <w:t>Disponibilità di risorse finanziarie (capitale proprio e debito) per le PMI, compresi sussidi e sovvenzioni.</w:t>
            </w:r>
          </w:p>
        </w:tc>
      </w:tr>
      <w:tr w:rsidR="00D173AF" w:rsidRPr="008B346E" w14:paraId="453450DF" w14:textId="77777777" w:rsidTr="00B74592">
        <w:trPr>
          <w:trHeight w:val="57"/>
        </w:trPr>
        <w:tc>
          <w:tcPr>
            <w:tcW w:w="0" w:type="auto"/>
            <w:tcMar>
              <w:left w:w="57" w:type="dxa"/>
              <w:right w:w="57" w:type="dxa"/>
            </w:tcMar>
            <w:hideMark/>
          </w:tcPr>
          <w:p w14:paraId="77A185C9"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Politiche governative: supporto e rilevanza</w:t>
            </w:r>
          </w:p>
        </w:tc>
        <w:tc>
          <w:tcPr>
            <w:tcW w:w="0" w:type="auto"/>
            <w:tcMar>
              <w:left w:w="57" w:type="dxa"/>
              <w:right w:w="57" w:type="dxa"/>
            </w:tcMar>
            <w:hideMark/>
          </w:tcPr>
          <w:p w14:paraId="0A965B2C" w14:textId="77777777" w:rsidR="00D173AF" w:rsidRPr="008B346E" w:rsidRDefault="00D173AF" w:rsidP="00B74592">
            <w:pPr>
              <w:jc w:val="both"/>
              <w:rPr>
                <w:rFonts w:ascii="Poppins" w:hAnsi="Poppins" w:cs="Poppins"/>
                <w:lang w:val="en-GB"/>
              </w:rPr>
            </w:pPr>
            <w:r w:rsidRPr="008B346E">
              <w:rPr>
                <w:rFonts w:ascii="Poppins" w:hAnsi="Poppins" w:cs="Poppins"/>
                <w:lang w:val="en-GB"/>
              </w:rPr>
              <w:t>Misura in cui le politiche pubbliche sostengono l'imprenditorialità e la considerano una questione economica rilevante.</w:t>
            </w:r>
          </w:p>
        </w:tc>
      </w:tr>
      <w:tr w:rsidR="00D173AF" w:rsidRPr="008B346E" w14:paraId="07F915F5" w14:textId="77777777" w:rsidTr="00B74592">
        <w:trPr>
          <w:trHeight w:val="57"/>
        </w:trPr>
        <w:tc>
          <w:tcPr>
            <w:tcW w:w="0" w:type="auto"/>
            <w:tcMar>
              <w:left w:w="57" w:type="dxa"/>
              <w:right w:w="57" w:type="dxa"/>
            </w:tcMar>
            <w:hideMark/>
          </w:tcPr>
          <w:p w14:paraId="030F4319"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lastRenderedPageBreak/>
              <w:t>Politiche governative: tasse e burocrazia</w:t>
            </w:r>
          </w:p>
        </w:tc>
        <w:tc>
          <w:tcPr>
            <w:tcW w:w="0" w:type="auto"/>
            <w:tcMar>
              <w:left w:w="57" w:type="dxa"/>
              <w:right w:w="57" w:type="dxa"/>
            </w:tcMar>
            <w:hideMark/>
          </w:tcPr>
          <w:p w14:paraId="7B8DBF84" w14:textId="77777777" w:rsidR="00D173AF" w:rsidRPr="008B346E" w:rsidRDefault="00D173AF" w:rsidP="00B74592">
            <w:pPr>
              <w:jc w:val="both"/>
              <w:rPr>
                <w:rFonts w:ascii="Poppins" w:hAnsi="Poppins" w:cs="Poppins"/>
                <w:lang w:val="en-GB"/>
              </w:rPr>
            </w:pPr>
            <w:r w:rsidRPr="008B346E">
              <w:rPr>
                <w:rFonts w:ascii="Poppins" w:hAnsi="Poppins" w:cs="Poppins"/>
                <w:lang w:val="en-GB"/>
              </w:rPr>
              <w:t>Grado in cui le politiche pubbliche, le tasse e le normative sono neutrali rispetto alle dimensioni o incoraggiano le nuove e piccole imprese.</w:t>
            </w:r>
          </w:p>
        </w:tc>
      </w:tr>
      <w:tr w:rsidR="00D173AF" w:rsidRPr="008B346E" w14:paraId="2115107A" w14:textId="77777777" w:rsidTr="00B74592">
        <w:trPr>
          <w:trHeight w:val="57"/>
        </w:trPr>
        <w:tc>
          <w:tcPr>
            <w:tcW w:w="0" w:type="auto"/>
            <w:tcMar>
              <w:left w:w="57" w:type="dxa"/>
              <w:right w:w="57" w:type="dxa"/>
            </w:tcMar>
            <w:hideMark/>
          </w:tcPr>
          <w:p w14:paraId="79CC0AE1"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Programmi governativi per l'imprenditorialità</w:t>
            </w:r>
          </w:p>
        </w:tc>
        <w:tc>
          <w:tcPr>
            <w:tcW w:w="0" w:type="auto"/>
            <w:tcMar>
              <w:left w:w="57" w:type="dxa"/>
              <w:right w:w="57" w:type="dxa"/>
            </w:tcMar>
            <w:hideMark/>
          </w:tcPr>
          <w:p w14:paraId="23CA4064" w14:textId="77777777" w:rsidR="00D173AF" w:rsidRPr="008B346E" w:rsidRDefault="00D173AF" w:rsidP="00B74592">
            <w:pPr>
              <w:jc w:val="both"/>
              <w:rPr>
                <w:rFonts w:ascii="Poppins" w:hAnsi="Poppins" w:cs="Poppins"/>
                <w:lang w:val="en-GB"/>
              </w:rPr>
            </w:pPr>
            <w:r w:rsidRPr="008B346E">
              <w:rPr>
                <w:rFonts w:ascii="Poppins" w:hAnsi="Poppins" w:cs="Poppins"/>
                <w:lang w:val="en-GB"/>
              </w:rPr>
              <w:t>Presenza e qualità dei programmi a tutti i livelli di governo (nazionale, regionale, comunale) per assistere le PMI.</w:t>
            </w:r>
          </w:p>
        </w:tc>
      </w:tr>
      <w:tr w:rsidR="00D173AF" w:rsidRPr="008B346E" w14:paraId="43B17308" w14:textId="77777777" w:rsidTr="00B74592">
        <w:trPr>
          <w:trHeight w:val="57"/>
        </w:trPr>
        <w:tc>
          <w:tcPr>
            <w:tcW w:w="0" w:type="auto"/>
            <w:tcMar>
              <w:left w:w="57" w:type="dxa"/>
              <w:right w:w="57" w:type="dxa"/>
            </w:tcMar>
            <w:hideMark/>
          </w:tcPr>
          <w:p w14:paraId="4025CB1F"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Educazione imprenditoriale a livello scolastico</w:t>
            </w:r>
          </w:p>
        </w:tc>
        <w:tc>
          <w:tcPr>
            <w:tcW w:w="0" w:type="auto"/>
            <w:tcMar>
              <w:left w:w="57" w:type="dxa"/>
              <w:right w:w="57" w:type="dxa"/>
            </w:tcMar>
            <w:hideMark/>
          </w:tcPr>
          <w:p w14:paraId="04EE43F3" w14:textId="77777777" w:rsidR="00D173AF" w:rsidRPr="008B346E" w:rsidRDefault="00D173AF" w:rsidP="00B74592">
            <w:pPr>
              <w:jc w:val="both"/>
              <w:rPr>
                <w:rFonts w:ascii="Poppins" w:hAnsi="Poppins" w:cs="Poppins"/>
                <w:lang w:val="en-GB"/>
              </w:rPr>
            </w:pPr>
            <w:r w:rsidRPr="008B346E">
              <w:rPr>
                <w:rFonts w:ascii="Poppins" w:hAnsi="Poppins" w:cs="Poppins"/>
                <w:lang w:val="en-GB"/>
              </w:rPr>
              <w:t>Inserimento della formazione nella creazione o gestione di PMI nei sistemi di istruzione primaria e secondaria.</w:t>
            </w:r>
          </w:p>
        </w:tc>
      </w:tr>
      <w:tr w:rsidR="00D173AF" w:rsidRPr="008B346E" w14:paraId="471316B5" w14:textId="77777777" w:rsidTr="00B74592">
        <w:trPr>
          <w:trHeight w:val="57"/>
        </w:trPr>
        <w:tc>
          <w:tcPr>
            <w:tcW w:w="0" w:type="auto"/>
            <w:tcMar>
              <w:left w:w="57" w:type="dxa"/>
              <w:right w:w="57" w:type="dxa"/>
            </w:tcMar>
            <w:hideMark/>
          </w:tcPr>
          <w:p w14:paraId="0996C4C3"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Formazione imprenditoriale nella fase post-scolastica</w:t>
            </w:r>
          </w:p>
        </w:tc>
        <w:tc>
          <w:tcPr>
            <w:tcW w:w="0" w:type="auto"/>
            <w:tcMar>
              <w:left w:w="57" w:type="dxa"/>
              <w:right w:w="57" w:type="dxa"/>
            </w:tcMar>
            <w:hideMark/>
          </w:tcPr>
          <w:p w14:paraId="780731EC" w14:textId="77777777" w:rsidR="00D173AF" w:rsidRPr="008B346E" w:rsidRDefault="00D173AF" w:rsidP="00B74592">
            <w:pPr>
              <w:jc w:val="both"/>
              <w:rPr>
                <w:rFonts w:ascii="Poppins" w:hAnsi="Poppins" w:cs="Poppins"/>
                <w:lang w:val="en-GB"/>
              </w:rPr>
            </w:pPr>
            <w:r w:rsidRPr="008B346E">
              <w:rPr>
                <w:rFonts w:ascii="Poppins" w:hAnsi="Poppins" w:cs="Poppins"/>
                <w:lang w:val="en-GB"/>
              </w:rPr>
              <w:t>Inclusione della formazione nella creazione o gestione di PMI nell'istruzione superiore, compresi corsi di formazione professionale, college e scuole di business.</w:t>
            </w:r>
          </w:p>
        </w:tc>
      </w:tr>
      <w:tr w:rsidR="00D173AF" w:rsidRPr="008B346E" w14:paraId="4AB2656E" w14:textId="77777777" w:rsidTr="00B74592">
        <w:trPr>
          <w:trHeight w:val="57"/>
        </w:trPr>
        <w:tc>
          <w:tcPr>
            <w:tcW w:w="0" w:type="auto"/>
            <w:tcMar>
              <w:left w:w="57" w:type="dxa"/>
              <w:right w:w="57" w:type="dxa"/>
            </w:tcMar>
            <w:hideMark/>
          </w:tcPr>
          <w:p w14:paraId="425AEDDA"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Trasferimento di R&amp;S</w:t>
            </w:r>
          </w:p>
        </w:tc>
        <w:tc>
          <w:tcPr>
            <w:tcW w:w="0" w:type="auto"/>
            <w:tcMar>
              <w:left w:w="57" w:type="dxa"/>
              <w:right w:w="57" w:type="dxa"/>
            </w:tcMar>
            <w:hideMark/>
          </w:tcPr>
          <w:p w14:paraId="3563A4B4" w14:textId="77777777" w:rsidR="00D173AF" w:rsidRPr="008B346E" w:rsidRDefault="00D173AF" w:rsidP="00B74592">
            <w:pPr>
              <w:jc w:val="both"/>
              <w:rPr>
                <w:rFonts w:ascii="Poppins" w:hAnsi="Poppins" w:cs="Poppins"/>
                <w:lang w:val="en-GB"/>
              </w:rPr>
            </w:pPr>
            <w:r w:rsidRPr="008B346E">
              <w:rPr>
                <w:rFonts w:ascii="Poppins" w:hAnsi="Poppins" w:cs="Poppins"/>
                <w:lang w:val="en-GB"/>
              </w:rPr>
              <w:t>Misura in cui la ricerca e lo sviluppo nazionali creano nuove opportunità commerciali e sono accessibili alle PMI.</w:t>
            </w:r>
          </w:p>
        </w:tc>
      </w:tr>
      <w:tr w:rsidR="00D173AF" w:rsidRPr="008B346E" w14:paraId="36C8D2E3" w14:textId="77777777" w:rsidTr="00B74592">
        <w:trPr>
          <w:trHeight w:val="57"/>
        </w:trPr>
        <w:tc>
          <w:tcPr>
            <w:tcW w:w="0" w:type="auto"/>
            <w:tcMar>
              <w:left w:w="57" w:type="dxa"/>
              <w:right w:w="57" w:type="dxa"/>
            </w:tcMar>
            <w:hideMark/>
          </w:tcPr>
          <w:p w14:paraId="38EA1736"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Infrastruttura commerciale e legale</w:t>
            </w:r>
          </w:p>
        </w:tc>
        <w:tc>
          <w:tcPr>
            <w:tcW w:w="0" w:type="auto"/>
            <w:tcMar>
              <w:left w:w="57" w:type="dxa"/>
              <w:right w:w="57" w:type="dxa"/>
            </w:tcMar>
            <w:hideMark/>
          </w:tcPr>
          <w:p w14:paraId="07893BD3" w14:textId="77777777" w:rsidR="00D173AF" w:rsidRPr="008B346E" w:rsidRDefault="00D173AF" w:rsidP="00B74592">
            <w:pPr>
              <w:jc w:val="both"/>
              <w:rPr>
                <w:rFonts w:ascii="Poppins" w:hAnsi="Poppins" w:cs="Poppins"/>
                <w:lang w:val="en-GB"/>
              </w:rPr>
            </w:pPr>
            <w:r w:rsidRPr="008B346E">
              <w:rPr>
                <w:rFonts w:ascii="Poppins" w:hAnsi="Poppins" w:cs="Poppins"/>
                <w:lang w:val="en-GB"/>
              </w:rPr>
              <w:t>Presenza di servizi di diritti di proprietà, commerciali, contabili, legali e di valutazione a supporto delle PMI.</w:t>
            </w:r>
          </w:p>
        </w:tc>
      </w:tr>
      <w:tr w:rsidR="00D173AF" w:rsidRPr="008B346E" w14:paraId="06D4094E" w14:textId="77777777" w:rsidTr="00B74592">
        <w:trPr>
          <w:trHeight w:val="57"/>
        </w:trPr>
        <w:tc>
          <w:tcPr>
            <w:tcW w:w="0" w:type="auto"/>
            <w:tcMar>
              <w:left w:w="57" w:type="dxa"/>
              <w:right w:w="57" w:type="dxa"/>
            </w:tcMar>
            <w:hideMark/>
          </w:tcPr>
          <w:p w14:paraId="514F2202"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Dinamiche del mercato interno</w:t>
            </w:r>
          </w:p>
        </w:tc>
        <w:tc>
          <w:tcPr>
            <w:tcW w:w="0" w:type="auto"/>
            <w:tcMar>
              <w:left w:w="57" w:type="dxa"/>
              <w:right w:w="57" w:type="dxa"/>
            </w:tcMar>
            <w:hideMark/>
          </w:tcPr>
          <w:p w14:paraId="63D894DF" w14:textId="77777777" w:rsidR="00D173AF" w:rsidRPr="008B346E" w:rsidRDefault="00D173AF" w:rsidP="00B74592">
            <w:pPr>
              <w:jc w:val="both"/>
              <w:rPr>
                <w:rFonts w:ascii="Poppins" w:hAnsi="Poppins" w:cs="Poppins"/>
                <w:lang w:val="en-GB"/>
              </w:rPr>
            </w:pPr>
            <w:r w:rsidRPr="008B346E">
              <w:rPr>
                <w:rFonts w:ascii="Poppins" w:hAnsi="Poppins" w:cs="Poppins"/>
                <w:lang w:val="en-GB"/>
              </w:rPr>
              <w:t>Livello di cambiamento e adattabilità dei mercati di anno in anno.</w:t>
            </w:r>
          </w:p>
        </w:tc>
      </w:tr>
      <w:tr w:rsidR="00D173AF" w:rsidRPr="008B346E" w14:paraId="36B39913" w14:textId="77777777" w:rsidTr="00B74592">
        <w:trPr>
          <w:trHeight w:val="57"/>
        </w:trPr>
        <w:tc>
          <w:tcPr>
            <w:tcW w:w="0" w:type="auto"/>
            <w:tcMar>
              <w:left w:w="57" w:type="dxa"/>
              <w:right w:w="57" w:type="dxa"/>
            </w:tcMar>
            <w:hideMark/>
          </w:tcPr>
          <w:p w14:paraId="0F75A418"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Oneri del mercato interno o regolamentazione dell'ingresso</w:t>
            </w:r>
          </w:p>
        </w:tc>
        <w:tc>
          <w:tcPr>
            <w:tcW w:w="0" w:type="auto"/>
            <w:tcMar>
              <w:left w:w="57" w:type="dxa"/>
              <w:right w:w="57" w:type="dxa"/>
            </w:tcMar>
            <w:hideMark/>
          </w:tcPr>
          <w:p w14:paraId="2F24ED62" w14:textId="77777777" w:rsidR="00D173AF" w:rsidRPr="008B346E" w:rsidRDefault="00D173AF" w:rsidP="00B74592">
            <w:pPr>
              <w:jc w:val="both"/>
              <w:rPr>
                <w:rFonts w:ascii="Poppins" w:hAnsi="Poppins" w:cs="Poppins"/>
                <w:lang w:val="en-GB"/>
              </w:rPr>
            </w:pPr>
            <w:r w:rsidRPr="008B346E">
              <w:rPr>
                <w:rFonts w:ascii="Poppins" w:hAnsi="Poppins" w:cs="Poppins"/>
                <w:lang w:val="en-GB"/>
              </w:rPr>
              <w:t>Grado in cui le nuove imprese sono libere di entrare nei mercati esistenti senza una regolamentazione eccessiva.</w:t>
            </w:r>
          </w:p>
        </w:tc>
      </w:tr>
      <w:tr w:rsidR="00D173AF" w:rsidRPr="008B346E" w14:paraId="51778676" w14:textId="77777777" w:rsidTr="00B74592">
        <w:trPr>
          <w:trHeight w:val="57"/>
        </w:trPr>
        <w:tc>
          <w:tcPr>
            <w:tcW w:w="0" w:type="auto"/>
            <w:tcMar>
              <w:left w:w="57" w:type="dxa"/>
              <w:right w:w="57" w:type="dxa"/>
            </w:tcMar>
            <w:hideMark/>
          </w:tcPr>
          <w:p w14:paraId="23044AE4"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Infrastruttura fisica</w:t>
            </w:r>
          </w:p>
        </w:tc>
        <w:tc>
          <w:tcPr>
            <w:tcW w:w="0" w:type="auto"/>
            <w:tcMar>
              <w:left w:w="57" w:type="dxa"/>
              <w:right w:w="57" w:type="dxa"/>
            </w:tcMar>
            <w:hideMark/>
          </w:tcPr>
          <w:p w14:paraId="76B9D043" w14:textId="77777777" w:rsidR="00D173AF" w:rsidRPr="008B346E" w:rsidRDefault="00D173AF" w:rsidP="00B74592">
            <w:pPr>
              <w:jc w:val="both"/>
              <w:rPr>
                <w:rFonts w:ascii="Poppins" w:hAnsi="Poppins" w:cs="Poppins"/>
                <w:lang w:val="en-GB"/>
              </w:rPr>
            </w:pPr>
            <w:r w:rsidRPr="008B346E">
              <w:rPr>
                <w:rFonts w:ascii="Poppins" w:hAnsi="Poppins" w:cs="Poppins"/>
                <w:lang w:val="en-GB"/>
              </w:rPr>
              <w:t>Facilità di accesso alle risorse fisiche quali comunicazioni, servizi pubblici, trasporti, terreni o spazi, a costi non discriminatori per le PMI.</w:t>
            </w:r>
          </w:p>
        </w:tc>
      </w:tr>
      <w:tr w:rsidR="00D173AF" w:rsidRPr="008B346E" w14:paraId="3D334C04" w14:textId="77777777" w:rsidTr="00B74592">
        <w:trPr>
          <w:trHeight w:val="57"/>
        </w:trPr>
        <w:tc>
          <w:tcPr>
            <w:tcW w:w="0" w:type="auto"/>
            <w:tcMar>
              <w:left w:w="57" w:type="dxa"/>
              <w:right w:w="57" w:type="dxa"/>
            </w:tcMar>
            <w:hideMark/>
          </w:tcPr>
          <w:p w14:paraId="716E3AE6" w14:textId="77777777" w:rsidR="00D173AF" w:rsidRPr="008B346E" w:rsidRDefault="00D173AF" w:rsidP="00B74592">
            <w:pPr>
              <w:jc w:val="both"/>
              <w:rPr>
                <w:rFonts w:ascii="Poppins" w:hAnsi="Poppins" w:cs="Poppins"/>
                <w:i/>
                <w:iCs/>
                <w:lang w:val="en-GB"/>
              </w:rPr>
            </w:pPr>
            <w:r w:rsidRPr="008B346E">
              <w:rPr>
                <w:rFonts w:ascii="Poppins" w:hAnsi="Poppins" w:cs="Poppins"/>
                <w:i/>
                <w:iCs/>
                <w:lang w:val="en-GB"/>
              </w:rPr>
              <w:t>Norme culturali e sociali</w:t>
            </w:r>
          </w:p>
        </w:tc>
        <w:tc>
          <w:tcPr>
            <w:tcW w:w="0" w:type="auto"/>
            <w:tcMar>
              <w:left w:w="57" w:type="dxa"/>
              <w:right w:w="57" w:type="dxa"/>
            </w:tcMar>
            <w:hideMark/>
          </w:tcPr>
          <w:p w14:paraId="2CD6882F" w14:textId="77777777" w:rsidR="00D173AF" w:rsidRPr="008B346E" w:rsidRDefault="00D173AF" w:rsidP="00B74592">
            <w:pPr>
              <w:jc w:val="both"/>
              <w:rPr>
                <w:rFonts w:ascii="Poppins" w:hAnsi="Poppins" w:cs="Poppins"/>
                <w:lang w:val="en-GB"/>
              </w:rPr>
            </w:pPr>
            <w:r w:rsidRPr="008B346E">
              <w:rPr>
                <w:rFonts w:ascii="Poppins" w:hAnsi="Poppins" w:cs="Poppins"/>
                <w:lang w:val="en-GB"/>
              </w:rPr>
              <w:t>Misura in cui le norme culturali e sociali incoraggiano nuove attività imprenditoriali e metodi innovativi per aumentare il patrimonio e il reddito personale.</w:t>
            </w:r>
          </w:p>
        </w:tc>
      </w:tr>
    </w:tbl>
    <w:p w14:paraId="1AE480E3" w14:textId="77777777" w:rsidR="00207AB3" w:rsidRPr="007657C5" w:rsidRDefault="00207AB3" w:rsidP="007657C5">
      <w:pPr>
        <w:pStyle w:val="Titolo2"/>
        <w:jc w:val="center"/>
        <w:rPr>
          <w:rFonts w:ascii="Poppins" w:hAnsi="Poppins" w:cs="Poppins"/>
          <w:color w:val="124F1A" w:themeColor="accent3" w:themeShade="BF"/>
          <w:sz w:val="36"/>
          <w:szCs w:val="36"/>
          <w:lang w:val="en-GB"/>
        </w:rPr>
      </w:pPr>
    </w:p>
    <w:sectPr w:rsidR="00207AB3" w:rsidRPr="007657C5">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C5256" w14:textId="77777777" w:rsidR="00AF1B49" w:rsidRDefault="00AF1B49" w:rsidP="0079697F">
      <w:r>
        <w:separator/>
      </w:r>
    </w:p>
  </w:endnote>
  <w:endnote w:type="continuationSeparator" w:id="0">
    <w:p w14:paraId="7B2EC571" w14:textId="77777777" w:rsidR="00AF1B49" w:rsidRDefault="00AF1B49" w:rsidP="00796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72030" w14:textId="77777777" w:rsidR="00AF1B49" w:rsidRDefault="00AF1B49" w:rsidP="0079697F">
      <w:r>
        <w:separator/>
      </w:r>
    </w:p>
  </w:footnote>
  <w:footnote w:type="continuationSeparator" w:id="0">
    <w:p w14:paraId="2F985992" w14:textId="77777777" w:rsidR="00AF1B49" w:rsidRDefault="00AF1B49" w:rsidP="00796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9615D" w14:textId="6B830D7B" w:rsidR="0079697F" w:rsidRDefault="0079697F">
    <w:pPr>
      <w:pStyle w:val="Intestazione"/>
    </w:pPr>
    <w:r>
      <w:rPr>
        <w:noProof/>
      </w:rPr>
      <w:drawing>
        <wp:anchor distT="0" distB="0" distL="114300" distR="114300" simplePos="0" relativeHeight="251659264" behindDoc="0" locked="0" layoutInCell="1" hidden="0" allowOverlap="1" wp14:anchorId="1DA90A4B" wp14:editId="6CEC7A85">
          <wp:simplePos x="0" y="0"/>
          <wp:positionH relativeFrom="page">
            <wp:posOffset>15755</wp:posOffset>
          </wp:positionH>
          <wp:positionV relativeFrom="paragraph">
            <wp:posOffset>-433121</wp:posOffset>
          </wp:positionV>
          <wp:extent cx="7561580" cy="885825"/>
          <wp:effectExtent l="0" t="0" r="1270" b="9525"/>
          <wp:wrapNone/>
          <wp:docPr id="1455172115" name="image1.png" descr="Immagine che contiene testo, schermata, Elementi grafici, logo&#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1455172115" name="image1.png" descr="Immagine che contiene testo, schermata, Elementi grafici, logo&#10;&#10;Il contenuto generato dall'IA potrebbe non essere corretto."/>
                  <pic:cNvPicPr preferRelativeResize="0"/>
                </pic:nvPicPr>
                <pic:blipFill>
                  <a:blip r:embed="rId1"/>
                  <a:srcRect/>
                  <a:stretch>
                    <a:fillRect/>
                  </a:stretch>
                </pic:blipFill>
                <pic:spPr>
                  <a:xfrm>
                    <a:off x="0" y="0"/>
                    <a:ext cx="7561580" cy="885825"/>
                  </a:xfrm>
                  <a:prstGeom prst="rect">
                    <a:avLst/>
                  </a:prstGeom>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036CB4A"/>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20906CDF"/>
    <w:multiLevelType w:val="hybridMultilevel"/>
    <w:tmpl w:val="2C203A5E"/>
    <w:lvl w:ilvl="0" w:tplc="A47C9752">
      <w:start w:val="1"/>
      <w:numFmt w:val="bullet"/>
      <w:lvlText w:val=""/>
      <w:lvlJc w:val="left"/>
      <w:pPr>
        <w:tabs>
          <w:tab w:val="num" w:pos="432"/>
        </w:tabs>
        <w:ind w:left="432" w:hanging="432"/>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D12C33"/>
    <w:multiLevelType w:val="hybridMultilevel"/>
    <w:tmpl w:val="C3CE2BF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3A0810F7"/>
    <w:multiLevelType w:val="multilevel"/>
    <w:tmpl w:val="03647D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772E68BD"/>
    <w:multiLevelType w:val="multilevel"/>
    <w:tmpl w:val="D63EA9C6"/>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520" w:hanging="2160"/>
      </w:pPr>
      <w:rPr>
        <w:rFonts w:hint="default"/>
      </w:rPr>
    </w:lvl>
    <w:lvl w:ilvl="5">
      <w:start w:val="1"/>
      <w:numFmt w:val="decimal"/>
      <w:isLgl/>
      <w:lvlText w:val="%1.%2.%3.%4.%5.%6"/>
      <w:lvlJc w:val="left"/>
      <w:pPr>
        <w:ind w:left="2880" w:hanging="2520"/>
      </w:pPr>
      <w:rPr>
        <w:rFonts w:hint="default"/>
      </w:rPr>
    </w:lvl>
    <w:lvl w:ilvl="6">
      <w:start w:val="1"/>
      <w:numFmt w:val="decimal"/>
      <w:isLgl/>
      <w:lvlText w:val="%1.%2.%3.%4.%5.%6.%7"/>
      <w:lvlJc w:val="left"/>
      <w:pPr>
        <w:ind w:left="3240" w:hanging="2880"/>
      </w:pPr>
      <w:rPr>
        <w:rFonts w:hint="default"/>
      </w:rPr>
    </w:lvl>
    <w:lvl w:ilvl="7">
      <w:start w:val="1"/>
      <w:numFmt w:val="decimal"/>
      <w:isLgl/>
      <w:lvlText w:val="%1.%2.%3.%4.%5.%6.%7.%8"/>
      <w:lvlJc w:val="left"/>
      <w:pPr>
        <w:ind w:left="3600" w:hanging="3240"/>
      </w:pPr>
      <w:rPr>
        <w:rFonts w:hint="default"/>
      </w:rPr>
    </w:lvl>
    <w:lvl w:ilvl="8">
      <w:start w:val="1"/>
      <w:numFmt w:val="decimal"/>
      <w:isLgl/>
      <w:lvlText w:val="%1.%2.%3.%4.%5.%6.%7.%8.%9"/>
      <w:lvlJc w:val="left"/>
      <w:pPr>
        <w:ind w:left="3960" w:hanging="3600"/>
      </w:pPr>
      <w:rPr>
        <w:rFonts w:hint="default"/>
      </w:rPr>
    </w:lvl>
  </w:abstractNum>
  <w:num w:numId="1" w16cid:durableId="186449925">
    <w:abstractNumId w:val="4"/>
  </w:num>
  <w:num w:numId="2" w16cid:durableId="1784156693">
    <w:abstractNumId w:val="3"/>
  </w:num>
  <w:num w:numId="3" w16cid:durableId="728652233">
    <w:abstractNumId w:val="0"/>
  </w:num>
  <w:num w:numId="4" w16cid:durableId="830750631">
    <w:abstractNumId w:val="1"/>
  </w:num>
  <w:num w:numId="5" w16cid:durableId="8481014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97F"/>
    <w:rsid w:val="00036AF9"/>
    <w:rsid w:val="000B13C7"/>
    <w:rsid w:val="00151460"/>
    <w:rsid w:val="001B0E6D"/>
    <w:rsid w:val="001B3BE3"/>
    <w:rsid w:val="001F2272"/>
    <w:rsid w:val="00207AB3"/>
    <w:rsid w:val="002F6176"/>
    <w:rsid w:val="0040179F"/>
    <w:rsid w:val="004C207B"/>
    <w:rsid w:val="004F0188"/>
    <w:rsid w:val="005D01DF"/>
    <w:rsid w:val="00640CE0"/>
    <w:rsid w:val="007271A8"/>
    <w:rsid w:val="007657C5"/>
    <w:rsid w:val="00775CAA"/>
    <w:rsid w:val="007869FB"/>
    <w:rsid w:val="0079697F"/>
    <w:rsid w:val="00806D9D"/>
    <w:rsid w:val="00854359"/>
    <w:rsid w:val="008D1363"/>
    <w:rsid w:val="009770E2"/>
    <w:rsid w:val="009E1892"/>
    <w:rsid w:val="009E731E"/>
    <w:rsid w:val="00A0407F"/>
    <w:rsid w:val="00A42980"/>
    <w:rsid w:val="00A65CF0"/>
    <w:rsid w:val="00AF1B49"/>
    <w:rsid w:val="00B63973"/>
    <w:rsid w:val="00B72DDC"/>
    <w:rsid w:val="00C72F59"/>
    <w:rsid w:val="00C875F3"/>
    <w:rsid w:val="00CC5476"/>
    <w:rsid w:val="00CF3DA8"/>
    <w:rsid w:val="00D173AF"/>
    <w:rsid w:val="00D42E8F"/>
    <w:rsid w:val="00D57771"/>
    <w:rsid w:val="00DA4184"/>
    <w:rsid w:val="00DA45F1"/>
    <w:rsid w:val="00DB3E72"/>
    <w:rsid w:val="00DD64CA"/>
    <w:rsid w:val="00EB31EA"/>
    <w:rsid w:val="00F12A1B"/>
    <w:rsid w:val="00F35BB5"/>
    <w:rsid w:val="00F6771C"/>
    <w:rsid w:val="00F72983"/>
    <w:rsid w:val="00F81A84"/>
    <w:rsid w:val="00FC0CFC"/>
    <w:rsid w:val="00FF6F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505FA91"/>
  <w15:chartTrackingRefBased/>
  <w15:docId w15:val="{FFF77312-46C4-D045-A2FD-4916CAB24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B3E72"/>
    <w:pPr>
      <w:spacing w:after="160" w:line="259" w:lineRule="auto"/>
    </w:pPr>
    <w:rPr>
      <w:rFonts w:ascii="Calibri" w:eastAsia="Calibri" w:hAnsi="Calibri" w:cs="Calibri"/>
      <w:kern w:val="0"/>
      <w:sz w:val="22"/>
      <w:szCs w:val="22"/>
      <w:lang w:val="it" w:eastAsia="it-IT"/>
      <w14:ligatures w14:val="none"/>
    </w:rPr>
  </w:style>
  <w:style w:type="paragraph" w:styleId="Titolo1">
    <w:name w:val="heading 1"/>
    <w:basedOn w:val="Normale"/>
    <w:next w:val="Normale"/>
    <w:link w:val="Titolo1Carattere"/>
    <w:uiPriority w:val="9"/>
    <w:qFormat/>
    <w:rsid w:val="0079697F"/>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unhideWhenUsed/>
    <w:qFormat/>
    <w:rsid w:val="0079697F"/>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79697F"/>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79697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9697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9697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9697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9697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9697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9697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79697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9697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9697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9697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9697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9697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9697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9697F"/>
    <w:rPr>
      <w:rFonts w:eastAsiaTheme="majorEastAsia" w:cstheme="majorBidi"/>
      <w:color w:val="272727" w:themeColor="text1" w:themeTint="D8"/>
    </w:rPr>
  </w:style>
  <w:style w:type="paragraph" w:styleId="Titolo">
    <w:name w:val="Title"/>
    <w:basedOn w:val="Normale"/>
    <w:next w:val="Normale"/>
    <w:link w:val="TitoloCarattere"/>
    <w:uiPriority w:val="10"/>
    <w:qFormat/>
    <w:rsid w:val="0079697F"/>
    <w:pPr>
      <w:spacing w:after="80" w:line="240" w:lineRule="auto"/>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79697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9697F"/>
    <w:pPr>
      <w:numPr>
        <w:ilvl w:val="1"/>
      </w:numPr>
      <w:spacing w:line="240"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79697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9697F"/>
    <w:pPr>
      <w:spacing w:before="160" w:line="240"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79697F"/>
    <w:rPr>
      <w:i/>
      <w:iCs/>
      <w:color w:val="404040" w:themeColor="text1" w:themeTint="BF"/>
    </w:rPr>
  </w:style>
  <w:style w:type="paragraph" w:styleId="Paragrafoelenco">
    <w:name w:val="List Paragraph"/>
    <w:basedOn w:val="Normale"/>
    <w:uiPriority w:val="34"/>
    <w:qFormat/>
    <w:rsid w:val="0079697F"/>
    <w:pPr>
      <w:spacing w:after="0" w:line="240"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79697F"/>
    <w:rPr>
      <w:i/>
      <w:iCs/>
      <w:color w:val="0F4761" w:themeColor="accent1" w:themeShade="BF"/>
    </w:rPr>
  </w:style>
  <w:style w:type="paragraph" w:styleId="Citazioneintensa">
    <w:name w:val="Intense Quote"/>
    <w:basedOn w:val="Normale"/>
    <w:next w:val="Normale"/>
    <w:link w:val="CitazioneintensaCarattere"/>
    <w:uiPriority w:val="30"/>
    <w:qFormat/>
    <w:rsid w:val="0079697F"/>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79697F"/>
    <w:rPr>
      <w:i/>
      <w:iCs/>
      <w:color w:val="0F4761" w:themeColor="accent1" w:themeShade="BF"/>
    </w:rPr>
  </w:style>
  <w:style w:type="character" w:styleId="Riferimentointenso">
    <w:name w:val="Intense Reference"/>
    <w:basedOn w:val="Carpredefinitoparagrafo"/>
    <w:uiPriority w:val="32"/>
    <w:qFormat/>
    <w:rsid w:val="0079697F"/>
    <w:rPr>
      <w:b/>
      <w:bCs/>
      <w:smallCaps/>
      <w:color w:val="0F4761" w:themeColor="accent1" w:themeShade="BF"/>
      <w:spacing w:val="5"/>
    </w:rPr>
  </w:style>
  <w:style w:type="paragraph" w:styleId="Intestazione">
    <w:name w:val="header"/>
    <w:basedOn w:val="Normale"/>
    <w:link w:val="IntestazioneCarattere"/>
    <w:uiPriority w:val="99"/>
    <w:unhideWhenUsed/>
    <w:rsid w:val="0079697F"/>
    <w:pPr>
      <w:tabs>
        <w:tab w:val="center" w:pos="4819"/>
        <w:tab w:val="right" w:pos="9638"/>
      </w:tabs>
      <w:spacing w:after="0" w:line="240" w:lineRule="auto"/>
    </w:pPr>
    <w:rPr>
      <w:rFonts w:asciiTheme="minorHAnsi" w:eastAsiaTheme="minorHAnsi" w:hAnsiTheme="minorHAnsi" w:cstheme="minorBidi"/>
      <w:kern w:val="2"/>
      <w:sz w:val="24"/>
      <w:szCs w:val="24"/>
      <w:lang w:val="it-IT" w:eastAsia="en-US"/>
      <w14:ligatures w14:val="standardContextual"/>
    </w:rPr>
  </w:style>
  <w:style w:type="character" w:customStyle="1" w:styleId="IntestazioneCarattere">
    <w:name w:val="Intestazione Carattere"/>
    <w:basedOn w:val="Carpredefinitoparagrafo"/>
    <w:link w:val="Intestazione"/>
    <w:uiPriority w:val="99"/>
    <w:rsid w:val="0079697F"/>
  </w:style>
  <w:style w:type="paragraph" w:styleId="Pidipagina">
    <w:name w:val="footer"/>
    <w:basedOn w:val="Normale"/>
    <w:link w:val="PidipaginaCarattere"/>
    <w:uiPriority w:val="99"/>
    <w:unhideWhenUsed/>
    <w:rsid w:val="0079697F"/>
    <w:pPr>
      <w:tabs>
        <w:tab w:val="center" w:pos="4819"/>
        <w:tab w:val="right" w:pos="9638"/>
      </w:tabs>
    </w:pPr>
  </w:style>
  <w:style w:type="character" w:customStyle="1" w:styleId="PidipaginaCarattere">
    <w:name w:val="Piè di pagina Carattere"/>
    <w:basedOn w:val="Carpredefinitoparagrafo"/>
    <w:link w:val="Pidipagina"/>
    <w:uiPriority w:val="99"/>
    <w:rsid w:val="0079697F"/>
  </w:style>
  <w:style w:type="paragraph" w:styleId="Testonotaapidipagina">
    <w:name w:val="footnote text"/>
    <w:basedOn w:val="Normale"/>
    <w:link w:val="TestonotaapidipaginaCarattere"/>
    <w:uiPriority w:val="99"/>
    <w:unhideWhenUsed/>
    <w:rsid w:val="00F6771C"/>
    <w:pPr>
      <w:spacing w:after="0" w:line="240" w:lineRule="auto"/>
      <w:jc w:val="both"/>
    </w:pPr>
    <w:rPr>
      <w:rFonts w:ascii="Times New Roman" w:eastAsiaTheme="minorHAnsi" w:hAnsi="Times New Roman" w:cstheme="minorBidi"/>
      <w:sz w:val="18"/>
      <w:szCs w:val="20"/>
      <w:lang w:eastAsia="ja-JP"/>
    </w:rPr>
  </w:style>
  <w:style w:type="character" w:customStyle="1" w:styleId="TestonotaapidipaginaCarattere">
    <w:name w:val="Testo nota a piè di pagina Carattere"/>
    <w:basedOn w:val="Carpredefinitoparagrafo"/>
    <w:link w:val="Testonotaapidipagina"/>
    <w:uiPriority w:val="99"/>
    <w:rsid w:val="00F6771C"/>
    <w:rPr>
      <w:rFonts w:ascii="Times New Roman" w:hAnsi="Times New Roman"/>
      <w:kern w:val="0"/>
      <w:sz w:val="18"/>
      <w:szCs w:val="20"/>
      <w:lang w:val="it" w:eastAsia="ja-JP"/>
      <w14:ligatures w14:val="none"/>
    </w:rPr>
  </w:style>
  <w:style w:type="character" w:styleId="Rimandonotaapidipagina">
    <w:name w:val="footnote reference"/>
    <w:basedOn w:val="Carpredefinitoparagrafo"/>
    <w:uiPriority w:val="99"/>
    <w:semiHidden/>
    <w:unhideWhenUsed/>
    <w:rsid w:val="00F6771C"/>
    <w:rPr>
      <w:vertAlign w:val="superscript"/>
    </w:rPr>
  </w:style>
  <w:style w:type="table" w:styleId="Grigliatabella">
    <w:name w:val="Table Grid"/>
    <w:basedOn w:val="Tabellanormale"/>
    <w:uiPriority w:val="39"/>
    <w:rsid w:val="000B13C7"/>
    <w:rPr>
      <w:rFonts w:ascii="Calibri" w:eastAsia="Times New Roman" w:hAnsi="Calibri" w:cs="Times New Roman"/>
      <w:kern w:val="0"/>
      <w:sz w:val="20"/>
      <w:szCs w:val="20"/>
      <w:lang w:val="it"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styleId="Puntoelenco">
    <w:name w:val="List Bullet"/>
    <w:basedOn w:val="Normale"/>
    <w:uiPriority w:val="9"/>
    <w:qFormat/>
    <w:rsid w:val="000B13C7"/>
    <w:pPr>
      <w:numPr>
        <w:numId w:val="3"/>
      </w:numPr>
      <w:tabs>
        <w:tab w:val="clear" w:pos="360"/>
        <w:tab w:val="num" w:pos="432"/>
      </w:tabs>
      <w:spacing w:before="120" w:after="120" w:line="240" w:lineRule="auto"/>
      <w:ind w:left="0" w:firstLine="0"/>
      <w:contextualSpacing/>
      <w:jc w:val="both"/>
    </w:pPr>
    <w:rPr>
      <w:rFonts w:ascii="Times New Roman" w:eastAsiaTheme="minorHAnsi" w:hAnsi="Times New Roman" w:cstheme="minorBidi"/>
      <w:szCs w:val="30"/>
      <w:lang w:eastAsia="ja-JP"/>
    </w:rPr>
  </w:style>
  <w:style w:type="paragraph" w:styleId="Didascalia">
    <w:name w:val="caption"/>
    <w:basedOn w:val="Normale"/>
    <w:next w:val="Normale"/>
    <w:uiPriority w:val="35"/>
    <w:unhideWhenUsed/>
    <w:qFormat/>
    <w:rsid w:val="000B13C7"/>
    <w:pPr>
      <w:keepNext/>
      <w:spacing w:before="240" w:after="0" w:line="240" w:lineRule="auto"/>
      <w:jc w:val="both"/>
    </w:pPr>
    <w:rPr>
      <w:rFonts w:ascii="Times New Roman" w:eastAsiaTheme="minorHAnsi" w:hAnsi="Times New Roman" w:cstheme="minorBidi"/>
      <w:i/>
      <w:iCs/>
      <w:sz w:val="20"/>
      <w:szCs w:val="1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2112</Words>
  <Characters>12041</Characters>
  <Application>Microsoft Office Word</Application>
  <DocSecurity>0</DocSecurity>
  <Lines>100</Lines>
  <Paragraphs>28</Paragraphs>
  <ScaleCrop>false</ScaleCrop>
  <Company/>
  <LinksUpToDate>false</LinksUpToDate>
  <CharactersWithSpaces>14125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corradodecristofaro0@gmail.com</dc:creator>
  <cp:keywords/>
  <dc:description/>
  <cp:lastModifiedBy>corradodecristofaro0@gmail.com</cp:lastModifiedBy>
  <cp:revision>17</cp:revision>
  <dcterms:created xsi:type="dcterms:W3CDTF">2025-09-29T20:31:00Z</dcterms:created>
  <dcterms:modified xsi:type="dcterms:W3CDTF">2025-09-30T07:38:00Z</dcterms:modified>
</cp:coreProperties>
</file>