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480E3" w14:textId="77777777" w:rsidR="00207AB3" w:rsidRDefault="00207AB3" w:rsidP="00207AB3">
      <w:pPr>
        <w:pStyle w:val="Titolo2"/>
        <w:jc w:val="center"/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</w:pPr>
      <w:bookmarkStart w:id="0" w:name="_Toc188282640"/>
      <w:bookmarkStart w:id="1" w:name="_Toc188282639"/>
    </w:p>
    <w:p w14:paraId="29DC81D0" w14:textId="77777777" w:rsidR="00663994" w:rsidRDefault="00663994" w:rsidP="00663994">
      <w:pPr>
        <w:pStyle w:val="Titolo2"/>
        <w:jc w:val="center"/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</w:pPr>
      <w:bookmarkStart w:id="2" w:name="_Toc187013353"/>
      <w:bookmarkStart w:id="3" w:name="_Toc188269380"/>
      <w:bookmarkStart w:id="4" w:name="_Toc188282641"/>
      <w:bookmarkEnd w:id="0"/>
      <w:bookmarkEnd w:id="1"/>
      <w:r w:rsidRPr="00663994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 xml:space="preserve">Servizi </w:t>
      </w:r>
      <w:proofErr w:type="spellStart"/>
      <w:r w:rsidRPr="00663994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>finanziari</w:t>
      </w:r>
      <w:proofErr w:type="spellEnd"/>
      <w:r w:rsidRPr="00663994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 xml:space="preserve"> e </w:t>
      </w:r>
      <w:proofErr w:type="spellStart"/>
      <w:r w:rsidRPr="00663994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>assicurativi</w:t>
      </w:r>
      <w:bookmarkEnd w:id="2"/>
      <w:bookmarkEnd w:id="3"/>
      <w:bookmarkEnd w:id="4"/>
      <w:proofErr w:type="spellEnd"/>
    </w:p>
    <w:p w14:paraId="2D3C2D59" w14:textId="77777777" w:rsidR="00663994" w:rsidRPr="00663994" w:rsidRDefault="00663994" w:rsidP="00663994">
      <w:pPr>
        <w:rPr>
          <w:lang w:val="en-GB" w:eastAsia="en-US"/>
        </w:rPr>
      </w:pPr>
    </w:p>
    <w:p w14:paraId="0B6CD31F" w14:textId="77777777" w:rsidR="00663994" w:rsidRPr="008B346E" w:rsidRDefault="00663994" w:rsidP="00663994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graduale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pensionamento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generazione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baby boomer,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unito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all'aumento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dell'aspettativa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vita e al calo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tassi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natalità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ha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sollevato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notevoli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preoccupazioni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sostenibilità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dei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sistemi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pensionistici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e </w:t>
      </w:r>
      <w:proofErr w:type="spellStart"/>
      <w:proofErr w:type="gram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sanitari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>,</w:t>
      </w:r>
      <w:proofErr w:type="gram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tradizionalmente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basano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rapporto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stabile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popolazione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attiva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popolazione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anziana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L'elevato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numero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persone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abbandonano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forza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lavoro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contesto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invecchiamento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diffuso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rischia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aggravare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pressione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finanziaria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sui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fondi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pensione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pubblici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istituti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previdenza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sociale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compromettendone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capacità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fornire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prestazioni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adeguate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alle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generazioni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future.</w:t>
      </w:r>
    </w:p>
    <w:p w14:paraId="68EBF578" w14:textId="77777777" w:rsidR="00663994" w:rsidRPr="008B346E" w:rsidRDefault="00663994" w:rsidP="00663994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scenario,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concetto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rischio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longevità</w:t>
      </w:r>
      <w:proofErr w:type="spellEnd"/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è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emersa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riferendosi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all'incertezza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circonda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possibilità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individui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possano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vivere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lungo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quanto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previsto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dai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modelli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demografici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attuariali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Ciò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può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mettere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dura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bilanci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sistemi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pensionistici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compagnie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assicurative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devono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fornire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pensioni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prestazioni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periodi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lunghi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affrontando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contempo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costi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crescenti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servizi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sanitari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assistenza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sociale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(De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Waegenaere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et al., 2010; Nahal &amp; Ma Beijia, 2014; Scognamiglio, 2022; Scott, 2021).</w:t>
      </w:r>
    </w:p>
    <w:p w14:paraId="3F34F90D" w14:textId="6D55493E" w:rsidR="00663994" w:rsidRPr="008B346E" w:rsidRDefault="00663994" w:rsidP="00663994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crescente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importanza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servizi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finanziari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privati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nell’economia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d’argento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è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quindi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strettamente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legata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proliferazione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strumenti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gestione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rischio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longevità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come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derivati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sulla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longevità</w:t>
      </w:r>
      <w:proofErr w:type="spellEnd"/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e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obbligazioni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longevità</w:t>
      </w:r>
      <w:proofErr w:type="spellEnd"/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(Mitchell, 2022).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quadro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normativo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appropriato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governi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devono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implementare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gestire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rischio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promuoverne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diversificazione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è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oggetto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notevole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dibattito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(Blake &amp; Cairns, 2021; World Economic Forum, 2024).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All'interno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dell'Unione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Europea,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letteratura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concentra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spesso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sull'impatto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quadro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normativo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Solvency II.</w:t>
      </w:r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sul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settore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assicurativo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riassicurativo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Pelkiewicz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et al., 2020;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Siopi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&amp;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Poufinas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, 2023).</w:t>
      </w:r>
    </w:p>
    <w:p w14:paraId="6E43363F" w14:textId="75444E80" w:rsidR="00663994" w:rsidRPr="008B346E" w:rsidRDefault="00663994" w:rsidP="00663994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gestione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rischio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longevità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non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limita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all'uso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strumenti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finanziari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ma include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anche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promozione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dell'alfabetizzazione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finanziaria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 e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popolazione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generale, con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prospettiva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lungo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termine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Sulistyowati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et al., 2023).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proposito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settori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bancario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assicurativo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privato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stanno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sviluppando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strategie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rispondere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crescente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domanda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effettiva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potenziale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includono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l'incoraggiamento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al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risparmio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lungo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termine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.</w:t>
      </w:r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investimenti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attraverso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polizze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assicurative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vita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misura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l'assistenza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lungo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termine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rendite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flessibili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e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piani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pensionistici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integrativi</w:t>
      </w:r>
      <w:proofErr w:type="spellEnd"/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>(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Brugiavini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et al., 2023; Centro Studi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Ricerche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Itinerari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="00D0336F" w:rsidRPr="008B346E">
        <w:rPr>
          <w:rFonts w:ascii="Poppins" w:hAnsi="Poppins" w:cs="Poppins"/>
          <w:sz w:val="20"/>
          <w:szCs w:val="20"/>
          <w:lang w:val="en-GB"/>
        </w:rPr>
        <w:t>Previdenziali</w:t>
      </w:r>
      <w:proofErr w:type="spellEnd"/>
      <w:r w:rsidR="00D0336F" w:rsidRPr="008B346E">
        <w:rPr>
          <w:rFonts w:ascii="Poppins" w:hAnsi="Poppins" w:cs="Poppins"/>
          <w:sz w:val="20"/>
          <w:szCs w:val="20"/>
          <w:lang w:val="en-GB"/>
        </w:rPr>
        <w:t>,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 2022, 2023;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Iwański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2024;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Oget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2021; Scott, 2021; Forum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economico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mondiale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, 2024).</w:t>
      </w:r>
    </w:p>
    <w:p w14:paraId="4AFB6100" w14:textId="77777777" w:rsidR="005D2296" w:rsidRDefault="00663994" w:rsidP="00663994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Come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altri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settori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dell'argento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lo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sviluppo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settore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assicurativo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è sempre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legato al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progresso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tecnologico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particolare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diffondendo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le compagnie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assicurative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tendenza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subordinare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disponibilità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piani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vantaggiosi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all'utilizzo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strumenti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avanzati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monitoraggio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salute,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cui </w:t>
      </w:r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le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tecnologie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indossabili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.</w:t>
      </w:r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(Nayak &amp; Bhattacharyya, 2020;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Schukat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et al., 2016). Da un lato,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monitoraggio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continuo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consente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raccolta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sviluppare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modelli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statistici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intelligenza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artificiale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valutazione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gestione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rischio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</w:t>
      </w:r>
    </w:p>
    <w:p w14:paraId="2AD3ACC0" w14:textId="77777777" w:rsidR="005D2296" w:rsidRDefault="005D2296" w:rsidP="00663994">
      <w:pPr>
        <w:jc w:val="both"/>
        <w:rPr>
          <w:rFonts w:ascii="Poppins" w:hAnsi="Poppins" w:cs="Poppins"/>
          <w:sz w:val="20"/>
          <w:szCs w:val="20"/>
          <w:lang w:val="en-GB"/>
        </w:rPr>
      </w:pPr>
    </w:p>
    <w:p w14:paraId="2384F684" w14:textId="159702CA" w:rsidR="00663994" w:rsidRPr="008B346E" w:rsidRDefault="00663994" w:rsidP="00663994">
      <w:pPr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Ciò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consente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l'individuazione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precoce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potenziali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problemi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salute,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riducendo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danni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costi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associati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trattamenti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in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fase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avanzata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o </w:t>
      </w:r>
      <w:proofErr w:type="spellStart"/>
      <w:proofErr w:type="gram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gravi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>,</w:t>
      </w:r>
      <w:proofErr w:type="gramEnd"/>
      <w:r w:rsidRPr="008B346E">
        <w:rPr>
          <w:rFonts w:ascii="Poppins" w:hAnsi="Poppins" w:cs="Poppins"/>
          <w:sz w:val="20"/>
          <w:szCs w:val="20"/>
          <w:lang w:val="en-GB"/>
        </w:rPr>
        <w:t xml:space="preserve"> con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vantaggio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assicuratori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assicurati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(Spender et al., 2019).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Dall'altro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monitoraggio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costante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comporta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raccolta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enormi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quantità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sensibili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aumentando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il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rischio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violazioni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privacy o di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uso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improprio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delle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informazioni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.</w:t>
      </w:r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>(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Schukat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et al., 2016).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Inoltre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tendenza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potrebbe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introdurre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forme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discriminazione</w:t>
      </w:r>
      <w:proofErr w:type="spellEnd"/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basato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controllo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inappropriato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sui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comportamenti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individuali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condizioni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salute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standard di vita, 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un accesso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diseguale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strumenti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(Raber et al., 2019).</w:t>
      </w:r>
    </w:p>
    <w:p w14:paraId="3EF1E186" w14:textId="77777777" w:rsidR="00663994" w:rsidRPr="008B346E" w:rsidRDefault="00663994" w:rsidP="00663994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settori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finanziario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assicurativo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all'interno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Silver Economy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trovano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ad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affrontare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duplice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sfida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gestire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rischi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al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contempo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affrontare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le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problematiche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proofErr w:type="gram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etiche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>.</w:t>
      </w:r>
      <w:proofErr w:type="gram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Mantenere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equilibrio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potenziale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dell'innovazione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tecnologica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il rispetto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privacy,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dell'equità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dell'accessibilità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sarà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fondamentale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garantire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servizi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finanziari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assicurativi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soddisfino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esigenze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popolazione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invecchia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stesso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tempo,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promuovere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l'alfabetizzazione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finanziaria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favorire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la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pianificazione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finanziaria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lungo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termine</w:t>
      </w:r>
      <w:proofErr w:type="spellEnd"/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può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contribuire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quadro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sostenibile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ed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equo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affrontare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sfide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rischio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longevità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.</w:t>
      </w:r>
    </w:p>
    <w:p w14:paraId="606594AA" w14:textId="77777777" w:rsidR="00663994" w:rsidRPr="008B346E" w:rsidRDefault="00663994" w:rsidP="00663994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br w:type="page"/>
      </w:r>
    </w:p>
    <w:p w14:paraId="31188B82" w14:textId="77777777" w:rsidR="000B13C7" w:rsidRPr="00D0336F" w:rsidRDefault="000B13C7" w:rsidP="000B13C7">
      <w:pPr>
        <w:pStyle w:val="Titolo2"/>
        <w:rPr>
          <w:rFonts w:ascii="Poppins" w:hAnsi="Poppins" w:cs="Poppins"/>
          <w:b/>
          <w:bCs/>
          <w:color w:val="124F1A" w:themeColor="accent3" w:themeShade="BF"/>
          <w:sz w:val="24"/>
          <w:szCs w:val="24"/>
          <w:lang w:val="en-GB"/>
        </w:rPr>
      </w:pPr>
    </w:p>
    <w:p w14:paraId="50BFF2D3" w14:textId="3A0D5DEF" w:rsidR="00D0336F" w:rsidRDefault="00D0336F" w:rsidP="00D0336F">
      <w:pPr>
        <w:rPr>
          <w:rFonts w:ascii="Poppins" w:hAnsi="Poppins" w:cs="Poppins"/>
          <w:b/>
          <w:bCs/>
          <w:sz w:val="24"/>
          <w:szCs w:val="24"/>
          <w:lang w:val="en-GB" w:eastAsia="en-US"/>
        </w:rPr>
      </w:pPr>
      <w:proofErr w:type="spellStart"/>
      <w:r w:rsidRPr="00D0336F">
        <w:rPr>
          <w:rFonts w:ascii="Poppins" w:hAnsi="Poppins" w:cs="Poppins"/>
          <w:b/>
          <w:bCs/>
          <w:sz w:val="24"/>
          <w:szCs w:val="24"/>
          <w:lang w:val="en-GB" w:eastAsia="en-US"/>
        </w:rPr>
        <w:t>Bibliografia</w:t>
      </w:r>
      <w:proofErr w:type="spellEnd"/>
    </w:p>
    <w:p w14:paraId="58DEEC12" w14:textId="77777777" w:rsidR="00527577" w:rsidRPr="00D0336F" w:rsidRDefault="00527577" w:rsidP="00527577">
      <w:pPr>
        <w:jc w:val="both"/>
        <w:rPr>
          <w:rFonts w:ascii="Poppins" w:hAnsi="Poppins" w:cs="Poppins"/>
          <w:b/>
          <w:bCs/>
          <w:sz w:val="24"/>
          <w:szCs w:val="24"/>
          <w:lang w:val="en-GB" w:eastAsia="en-US"/>
        </w:rPr>
      </w:pPr>
    </w:p>
    <w:p w14:paraId="7B135B2F" w14:textId="77777777" w:rsidR="00527577" w:rsidRPr="008B346E" w:rsidRDefault="00527577" w:rsidP="00527577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Blake, D. P., &amp; Cairns, A. J. G. (2021). Longevity Risk and Capital Markets: The 2019-20 Update.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SSRN Electronic Journal</w:t>
      </w:r>
      <w:r w:rsidRPr="008B346E">
        <w:rPr>
          <w:rFonts w:ascii="Poppins" w:hAnsi="Poppins" w:cs="Poppins"/>
          <w:sz w:val="20"/>
          <w:szCs w:val="20"/>
          <w:lang w:val="en-GB"/>
        </w:rPr>
        <w:t>. https://doi.org/10.2139/ssrn.3818781</w:t>
      </w:r>
    </w:p>
    <w:p w14:paraId="309E0273" w14:textId="77777777" w:rsidR="00527577" w:rsidRPr="008B346E" w:rsidRDefault="00527577" w:rsidP="00527577">
      <w:pPr>
        <w:ind w:left="340" w:hanging="340"/>
        <w:jc w:val="both"/>
        <w:rPr>
          <w:rFonts w:ascii="Poppins" w:eastAsia="Times New Roman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>Brugiavini</w:t>
      </w:r>
      <w:r w:rsidRPr="008B346E">
        <w:rPr>
          <w:rFonts w:ascii="Poppins" w:eastAsia="Times New Roman" w:hAnsi="Poppins" w:cs="Poppins"/>
          <w:sz w:val="20"/>
          <w:szCs w:val="20"/>
          <w:lang w:val="en-GB"/>
        </w:rPr>
        <w:t xml:space="preserve">, A., Carrino, L., &amp; Pasini, G. (2023). </w:t>
      </w:r>
      <w:r w:rsidRPr="008B346E">
        <w:rPr>
          <w:rFonts w:ascii="Poppins" w:eastAsia="Times New Roman" w:hAnsi="Poppins" w:cs="Poppins"/>
          <w:i/>
          <w:iCs/>
          <w:sz w:val="20"/>
          <w:szCs w:val="20"/>
          <w:lang w:val="en-GB"/>
        </w:rPr>
        <w:t>Long-Term Care in Italy</w:t>
      </w:r>
      <w:r w:rsidRPr="008B346E">
        <w:rPr>
          <w:rFonts w:ascii="Poppins" w:eastAsia="Times New Roman" w:hAnsi="Poppins" w:cs="Poppins"/>
          <w:sz w:val="20"/>
          <w:szCs w:val="20"/>
          <w:lang w:val="en-GB"/>
        </w:rPr>
        <w:t xml:space="preserve"> (NBER Working Paper, w31861). National Bureau of Economic Research. https://ssrn.com/abstract=4631038</w:t>
      </w:r>
    </w:p>
    <w:p w14:paraId="38D0D0AB" w14:textId="77777777" w:rsidR="00527577" w:rsidRPr="008B346E" w:rsidRDefault="00527577" w:rsidP="00527577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De Waegenaere, A.,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Melenberg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B., &amp; Stevens, R. (2010). Longevity Risk.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De Economist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158</w:t>
      </w:r>
      <w:r w:rsidRPr="008B346E">
        <w:rPr>
          <w:rFonts w:ascii="Poppins" w:hAnsi="Poppins" w:cs="Poppins"/>
          <w:sz w:val="20"/>
          <w:szCs w:val="20"/>
          <w:lang w:val="en-GB"/>
        </w:rPr>
        <w:t>(2), 151–192. https://doi.org/10.1007/s10645-010-9143-4</w:t>
      </w:r>
    </w:p>
    <w:p w14:paraId="3DE1F043" w14:textId="77777777" w:rsidR="00527577" w:rsidRPr="008B346E" w:rsidRDefault="00527577" w:rsidP="00527577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Iwański, R. (2024). Growth prospects for the silver economy in the market segment of residential care services provided to dependent elderly people.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Economics and Business Review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10</w:t>
      </w:r>
      <w:r w:rsidRPr="008B346E">
        <w:rPr>
          <w:rFonts w:ascii="Poppins" w:hAnsi="Poppins" w:cs="Poppins"/>
          <w:sz w:val="20"/>
          <w:szCs w:val="20"/>
          <w:lang w:val="en-GB"/>
        </w:rPr>
        <w:t>. https://doi.org/10.18559/ebr.2024.2.1255</w:t>
      </w:r>
    </w:p>
    <w:p w14:paraId="1FCB0066" w14:textId="77777777" w:rsidR="00527577" w:rsidRPr="008B346E" w:rsidRDefault="00527577" w:rsidP="00527577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Mitchell, O. S. (Ed.). (2022).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New Models for Managing Longevity Risk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. Oxford University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PressOxford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. https://doi.org/10.1093/oso/9780192859808.001.0001</w:t>
      </w:r>
    </w:p>
    <w:p w14:paraId="49DB1C86" w14:textId="77777777" w:rsidR="00527577" w:rsidRPr="008B346E" w:rsidRDefault="00527577" w:rsidP="00527577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Nahal, S., &amp; Ma Beijia. (2014).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The Silver Dollar – longevity revolution primer</w:t>
      </w:r>
      <w:r w:rsidRPr="008B346E">
        <w:rPr>
          <w:rFonts w:ascii="Poppins" w:hAnsi="Poppins" w:cs="Poppins"/>
          <w:sz w:val="20"/>
          <w:szCs w:val="20"/>
          <w:lang w:val="en-GB"/>
        </w:rPr>
        <w:t>. Bank of America Merrill Lynch.</w:t>
      </w:r>
    </w:p>
    <w:p w14:paraId="75E227DA" w14:textId="77777777" w:rsidR="00527577" w:rsidRPr="008B346E" w:rsidRDefault="00527577" w:rsidP="00527577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Nayak, B., &amp; Bhattacharyya, S. S. (2020). The Changing Narrative in the Health Insurance Industry: Wearables Technology in Health Insurance Products and Services for the COVID-19 World.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Journal of Health Management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22</w:t>
      </w:r>
      <w:r w:rsidRPr="008B346E">
        <w:rPr>
          <w:rFonts w:ascii="Poppins" w:hAnsi="Poppins" w:cs="Poppins"/>
          <w:sz w:val="20"/>
          <w:szCs w:val="20"/>
          <w:lang w:val="en-GB"/>
        </w:rPr>
        <w:t>(4), 550–558. https://doi.org/10.1177/0972063420983112</w:t>
      </w:r>
    </w:p>
    <w:p w14:paraId="001FDAF9" w14:textId="77777777" w:rsidR="00527577" w:rsidRPr="008B346E" w:rsidRDefault="00527577" w:rsidP="00527577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Oget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Q. (2021). When Economic Promises Shape Innovation and Networks: A Structural Analysis of Technological Innovation in the Silver Economy.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Journal of Innovation Economics &amp; Management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35</w:t>
      </w:r>
      <w:r w:rsidRPr="008B346E">
        <w:rPr>
          <w:rFonts w:ascii="Poppins" w:hAnsi="Poppins" w:cs="Poppins"/>
          <w:sz w:val="20"/>
          <w:szCs w:val="20"/>
          <w:lang w:val="en-GB"/>
        </w:rPr>
        <w:t>(2). https://doi.org/10.3917/jie.035.0055</w:t>
      </w:r>
    </w:p>
    <w:p w14:paraId="612030D6" w14:textId="77777777" w:rsidR="00527577" w:rsidRPr="008B346E" w:rsidRDefault="00527577" w:rsidP="00527577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Pelkiewicz, A. J., Ahmed, S. W., Fulcher, P., Johnson, K. L., Reynolds, S. M., Schneider, R. J., &amp; Scott, A. J. (2020). A review of the risk margin – Solvency II and beyond.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British Actuarial Journal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25</w:t>
      </w:r>
      <w:r w:rsidRPr="008B346E">
        <w:rPr>
          <w:rFonts w:ascii="Poppins" w:hAnsi="Poppins" w:cs="Poppins"/>
          <w:sz w:val="20"/>
          <w:szCs w:val="20"/>
          <w:lang w:val="en-GB"/>
        </w:rPr>
        <w:t>, e1. https://doi.org/10.1017/S135732172000001X</w:t>
      </w:r>
    </w:p>
    <w:p w14:paraId="2AFE6C4B" w14:textId="77777777" w:rsidR="00527577" w:rsidRPr="008B346E" w:rsidRDefault="00527577" w:rsidP="00527577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Raber, I., McCarthy, C. P., &amp; Yeh, R. W. (2019). Health Insurance and Mobile Health Devices.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JAMA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321</w:t>
      </w:r>
      <w:r w:rsidRPr="008B346E">
        <w:rPr>
          <w:rFonts w:ascii="Poppins" w:hAnsi="Poppins" w:cs="Poppins"/>
          <w:sz w:val="20"/>
          <w:szCs w:val="20"/>
          <w:lang w:val="en-GB"/>
        </w:rPr>
        <w:t>(18), 1767. https://doi.org/10.1001/jama.2019.3353</w:t>
      </w:r>
    </w:p>
    <w:p w14:paraId="7D8D4658" w14:textId="77777777" w:rsidR="00527577" w:rsidRPr="008B346E" w:rsidRDefault="00527577" w:rsidP="00527577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Schukat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M., McCaldin, D., Wang, K., Schreier, G., Lovell, N. H.,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Marschollek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M., &amp; Redmond, S. J. (2016). Unintended Consequences of Wearable Sensor Use in Healthcare.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Yearbook of Medical Informatics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25</w:t>
      </w:r>
      <w:r w:rsidRPr="008B346E">
        <w:rPr>
          <w:rFonts w:ascii="Poppins" w:hAnsi="Poppins" w:cs="Poppins"/>
          <w:sz w:val="20"/>
          <w:szCs w:val="20"/>
          <w:lang w:val="en-GB"/>
        </w:rPr>
        <w:t>(01), 73–86. https://doi.org/10.15265/IY-2016-025</w:t>
      </w:r>
    </w:p>
    <w:p w14:paraId="2FD09AA7" w14:textId="77777777" w:rsidR="00527577" w:rsidRPr="008B346E" w:rsidRDefault="00527577" w:rsidP="00527577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Schukat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M., McCaldin, D., Wang, K., Schreier, G., Lovell, N. H.,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Marschollek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M., &amp; Redmond, S. J. (2016). Unintended Consequences of Wearable Sensor Use in Healthcare.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Yearbook of Medical Informatics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25</w:t>
      </w:r>
      <w:r w:rsidRPr="008B346E">
        <w:rPr>
          <w:rFonts w:ascii="Poppins" w:hAnsi="Poppins" w:cs="Poppins"/>
          <w:sz w:val="20"/>
          <w:szCs w:val="20"/>
          <w:lang w:val="en-GB"/>
        </w:rPr>
        <w:t>(01), 73–86. https://doi.org/10.15265/IY-2016-025</w:t>
      </w:r>
    </w:p>
    <w:p w14:paraId="70C9B5BB" w14:textId="77777777" w:rsidR="00527577" w:rsidRPr="008B346E" w:rsidRDefault="00527577" w:rsidP="00527577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Scognamiglio, S. (2022). Longevity risk analysis: applications to the Italian regional data.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Quantitative Finance and Economics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6</w:t>
      </w:r>
      <w:r w:rsidRPr="008B346E">
        <w:rPr>
          <w:rFonts w:ascii="Poppins" w:hAnsi="Poppins" w:cs="Poppins"/>
          <w:sz w:val="20"/>
          <w:szCs w:val="20"/>
          <w:lang w:val="en-GB"/>
        </w:rPr>
        <w:t>(1), 138–157. https://doi.org/10.3934/QFE.2022006</w:t>
      </w:r>
    </w:p>
    <w:p w14:paraId="054DC890" w14:textId="77777777" w:rsidR="00527577" w:rsidRPr="008B346E" w:rsidRDefault="00527577" w:rsidP="00527577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lastRenderedPageBreak/>
        <w:t xml:space="preserve">Scott, A. J. (2021). The longevity economy.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The Lancet Healthy Longevity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2</w:t>
      </w:r>
      <w:r w:rsidRPr="008B346E">
        <w:rPr>
          <w:rFonts w:ascii="Poppins" w:hAnsi="Poppins" w:cs="Poppins"/>
          <w:sz w:val="20"/>
          <w:szCs w:val="20"/>
          <w:lang w:val="en-GB"/>
        </w:rPr>
        <w:t>(12), e828–e835. https://doi.org/10.1016/S2666-7568(21)00250-6</w:t>
      </w:r>
    </w:p>
    <w:p w14:paraId="1413F915" w14:textId="77777777" w:rsidR="00527577" w:rsidRPr="008B346E" w:rsidRDefault="00527577" w:rsidP="00527577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Scott, A. J. (2021). The longevity economy.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The Lancet Healthy Longevity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2</w:t>
      </w:r>
      <w:r w:rsidRPr="008B346E">
        <w:rPr>
          <w:rFonts w:ascii="Poppins" w:hAnsi="Poppins" w:cs="Poppins"/>
          <w:sz w:val="20"/>
          <w:szCs w:val="20"/>
          <w:lang w:val="en-GB"/>
        </w:rPr>
        <w:t>(12), e828–e835. https://doi.org/10.1016/S2666-7568(21)00250-6</w:t>
      </w:r>
    </w:p>
    <w:p w14:paraId="5D475A04" w14:textId="77777777" w:rsidR="00527577" w:rsidRPr="008B346E" w:rsidRDefault="00527577" w:rsidP="00527577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Siopi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E., &amp;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Poufinas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T. (2023). Impact of Internal and External Factors on the Profitability and Financial Strength of Insurance Groups.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International Advances in Economic Research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29</w:t>
      </w:r>
      <w:r w:rsidRPr="008B346E">
        <w:rPr>
          <w:rFonts w:ascii="Poppins" w:hAnsi="Poppins" w:cs="Poppins"/>
          <w:sz w:val="20"/>
          <w:szCs w:val="20"/>
          <w:lang w:val="en-GB"/>
        </w:rPr>
        <w:t>(3), 129–149. https://doi.org/10.1007/s11294-023-09873-y</w:t>
      </w:r>
    </w:p>
    <w:p w14:paraId="15553EEC" w14:textId="77777777" w:rsidR="00527577" w:rsidRPr="008B346E" w:rsidRDefault="00527577" w:rsidP="00527577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Spender, A., Bullen, C., Altmann-Richer, L., Cripps, J., Duffy, R.,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Falkous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C., Farrell, M., Horn, T., Wigzell, J., &amp; Yeap, W. (2019). Wearables and the internet of things: considerations for the life and health insurance industry.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British Actuarial Journal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24</w:t>
      </w:r>
      <w:r w:rsidRPr="008B346E">
        <w:rPr>
          <w:rFonts w:ascii="Poppins" w:hAnsi="Poppins" w:cs="Poppins"/>
          <w:sz w:val="20"/>
          <w:szCs w:val="20"/>
          <w:lang w:val="en-GB"/>
        </w:rPr>
        <w:t>, e22. https://doi.org/10.1017/S1357321719000072</w:t>
      </w:r>
    </w:p>
    <w:p w14:paraId="025B93B1" w14:textId="77777777" w:rsidR="00527577" w:rsidRPr="008B346E" w:rsidRDefault="00527577" w:rsidP="00527577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Sulistyowati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C., Aryani, M. G. A., &amp;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Qalby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Z. H. (2023). Improving the Quality of Life for the Elderly Group through Basic Financial Literacy Education Program. </w:t>
      </w:r>
      <w:proofErr w:type="spellStart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Jurnal</w:t>
      </w:r>
      <w:proofErr w:type="spellEnd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Pengabdian</w:t>
      </w:r>
      <w:proofErr w:type="spellEnd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 Masyarakat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4</w:t>
      </w:r>
      <w:r w:rsidRPr="008B346E">
        <w:rPr>
          <w:rFonts w:ascii="Poppins" w:hAnsi="Poppins" w:cs="Poppins"/>
          <w:sz w:val="20"/>
          <w:szCs w:val="20"/>
          <w:lang w:val="en-GB"/>
        </w:rPr>
        <w:t>(2), 417–424. https://doi.org/10.32815/jpm.v4i2.1247</w:t>
      </w:r>
    </w:p>
    <w:p w14:paraId="0E3DAA5F" w14:textId="77777777" w:rsidR="00527577" w:rsidRPr="008B346E" w:rsidRDefault="00527577" w:rsidP="00527577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World Economic Forum. (2024).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Longevity Economy Principles: The Foundation for a Financially Resilient Future</w:t>
      </w:r>
      <w:r w:rsidRPr="008B346E">
        <w:rPr>
          <w:rFonts w:ascii="Poppins" w:hAnsi="Poppins" w:cs="Poppins"/>
          <w:sz w:val="20"/>
          <w:szCs w:val="20"/>
          <w:lang w:val="en-GB"/>
        </w:rPr>
        <w:t>. World Economic Forum.</w:t>
      </w:r>
    </w:p>
    <w:sectPr w:rsidR="00527577" w:rsidRPr="008B346E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D94D02" w14:textId="77777777" w:rsidR="00BF69F8" w:rsidRDefault="00BF69F8" w:rsidP="0079697F">
      <w:r>
        <w:separator/>
      </w:r>
    </w:p>
  </w:endnote>
  <w:endnote w:type="continuationSeparator" w:id="0">
    <w:p w14:paraId="651BD35F" w14:textId="77777777" w:rsidR="00BF69F8" w:rsidRDefault="00BF69F8" w:rsidP="00796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4DBA0" w14:textId="77777777" w:rsidR="00BF69F8" w:rsidRDefault="00BF69F8" w:rsidP="0079697F">
      <w:r>
        <w:separator/>
      </w:r>
    </w:p>
  </w:footnote>
  <w:footnote w:type="continuationSeparator" w:id="0">
    <w:p w14:paraId="3C8C25B8" w14:textId="77777777" w:rsidR="00BF69F8" w:rsidRDefault="00BF69F8" w:rsidP="007969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9615D" w14:textId="6B830D7B" w:rsidR="0079697F" w:rsidRDefault="0079697F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1DA90A4B" wp14:editId="6CEC7A85">
          <wp:simplePos x="0" y="0"/>
          <wp:positionH relativeFrom="page">
            <wp:posOffset>15755</wp:posOffset>
          </wp:positionH>
          <wp:positionV relativeFrom="paragraph">
            <wp:posOffset>-433121</wp:posOffset>
          </wp:positionV>
          <wp:extent cx="7561580" cy="885825"/>
          <wp:effectExtent l="0" t="0" r="1270" b="9525"/>
          <wp:wrapNone/>
          <wp:docPr id="1455172115" name="image1.png" descr="Immagine che contiene testo, schermata, Elementi grafici, logo&#10;&#10;Il contenuto generato dall'IA potrebbe non essere corret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5172115" name="image1.png" descr="Immagine che contiene testo, schermata, Elementi grafici, logo&#10;&#10;Il contenuto generato dall'IA potrebbe non essere corret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1580" cy="885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036CB4A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A0810F7"/>
    <w:multiLevelType w:val="multilevel"/>
    <w:tmpl w:val="03647D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72E68BD"/>
    <w:multiLevelType w:val="multilevel"/>
    <w:tmpl w:val="D63EA9C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14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80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216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25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28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0" w:hanging="32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3600"/>
      </w:pPr>
      <w:rPr>
        <w:rFonts w:hint="default"/>
      </w:rPr>
    </w:lvl>
  </w:abstractNum>
  <w:num w:numId="1" w16cid:durableId="186449925">
    <w:abstractNumId w:val="2"/>
  </w:num>
  <w:num w:numId="2" w16cid:durableId="1784156693">
    <w:abstractNumId w:val="1"/>
  </w:num>
  <w:num w:numId="3" w16cid:durableId="728652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97F"/>
    <w:rsid w:val="00036AF9"/>
    <w:rsid w:val="000B13C7"/>
    <w:rsid w:val="001B3BE3"/>
    <w:rsid w:val="001F2272"/>
    <w:rsid w:val="00207AB3"/>
    <w:rsid w:val="002F6176"/>
    <w:rsid w:val="0040179F"/>
    <w:rsid w:val="004C207B"/>
    <w:rsid w:val="004F0188"/>
    <w:rsid w:val="00527577"/>
    <w:rsid w:val="005D01DF"/>
    <w:rsid w:val="005D2296"/>
    <w:rsid w:val="00663994"/>
    <w:rsid w:val="007271A8"/>
    <w:rsid w:val="00775CAA"/>
    <w:rsid w:val="0079697F"/>
    <w:rsid w:val="007F0B1A"/>
    <w:rsid w:val="00806D9D"/>
    <w:rsid w:val="00854359"/>
    <w:rsid w:val="008D1363"/>
    <w:rsid w:val="009770E2"/>
    <w:rsid w:val="009E1892"/>
    <w:rsid w:val="009E731E"/>
    <w:rsid w:val="00A0407F"/>
    <w:rsid w:val="00A42980"/>
    <w:rsid w:val="00B72DDC"/>
    <w:rsid w:val="00BF69F8"/>
    <w:rsid w:val="00C72F59"/>
    <w:rsid w:val="00C875F3"/>
    <w:rsid w:val="00CF3DA8"/>
    <w:rsid w:val="00D0336F"/>
    <w:rsid w:val="00DA4184"/>
    <w:rsid w:val="00DB3E72"/>
    <w:rsid w:val="00F35BB5"/>
    <w:rsid w:val="00F6771C"/>
    <w:rsid w:val="00F72983"/>
    <w:rsid w:val="00FF6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505FA91"/>
  <w15:chartTrackingRefBased/>
  <w15:docId w15:val="{FFF77312-46C4-D045-A2FD-4916CAB24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B3E72"/>
    <w:pPr>
      <w:spacing w:after="160" w:line="259" w:lineRule="auto"/>
    </w:pPr>
    <w:rPr>
      <w:rFonts w:ascii="Calibri" w:eastAsia="Calibri" w:hAnsi="Calibri" w:cs="Calibri"/>
      <w:kern w:val="0"/>
      <w:sz w:val="22"/>
      <w:szCs w:val="22"/>
      <w:lang w:val="it"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9697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t-IT"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9697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t-IT"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9697F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it-IT"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969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969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969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969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969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969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969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969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969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9697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9697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9697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9697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9697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9697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969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7969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9697F"/>
    <w:pPr>
      <w:numPr>
        <w:ilvl w:val="1"/>
      </w:numPr>
      <w:spacing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969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9697F"/>
    <w:pPr>
      <w:spacing w:before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it-IT"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9697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9697F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it-IT"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79697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969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it-IT"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9697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9697F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79697F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:lang w:val="it-IT" w:eastAsia="en-US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9697F"/>
  </w:style>
  <w:style w:type="paragraph" w:styleId="Pidipagina">
    <w:name w:val="footer"/>
    <w:basedOn w:val="Normale"/>
    <w:link w:val="PidipaginaCarattere"/>
    <w:uiPriority w:val="99"/>
    <w:unhideWhenUsed/>
    <w:rsid w:val="0079697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9697F"/>
  </w:style>
  <w:style w:type="paragraph" w:styleId="Testonotaapidipagina">
    <w:name w:val="footnote text"/>
    <w:basedOn w:val="Normale"/>
    <w:link w:val="TestonotaapidipaginaCarattere"/>
    <w:uiPriority w:val="99"/>
    <w:unhideWhenUsed/>
    <w:rsid w:val="00F6771C"/>
    <w:pPr>
      <w:spacing w:after="0" w:line="240" w:lineRule="auto"/>
      <w:jc w:val="both"/>
    </w:pPr>
    <w:rPr>
      <w:rFonts w:ascii="Times New Roman" w:eastAsiaTheme="minorHAnsi" w:hAnsi="Times New Roman" w:cstheme="minorBidi"/>
      <w:sz w:val="18"/>
      <w:szCs w:val="20"/>
      <w:lang w:eastAsia="ja-JP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F6771C"/>
    <w:rPr>
      <w:rFonts w:ascii="Times New Roman" w:hAnsi="Times New Roman"/>
      <w:kern w:val="0"/>
      <w:sz w:val="18"/>
      <w:szCs w:val="20"/>
      <w:lang w:val="it" w:eastAsia="ja-JP"/>
      <w14:ligatures w14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F6771C"/>
    <w:rPr>
      <w:vertAlign w:val="superscript"/>
    </w:rPr>
  </w:style>
  <w:style w:type="table" w:styleId="Grigliatabella">
    <w:name w:val="Table Grid"/>
    <w:basedOn w:val="Tabellanormale"/>
    <w:uiPriority w:val="39"/>
    <w:rsid w:val="000B13C7"/>
    <w:rPr>
      <w:rFonts w:ascii="Calibri" w:eastAsia="Times New Roman" w:hAnsi="Calibri" w:cs="Times New Roman"/>
      <w:kern w:val="0"/>
      <w:sz w:val="20"/>
      <w:szCs w:val="20"/>
      <w:lang w:val="it" w:eastAsia="it-IT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 w:themeFill="background1"/>
    </w:tcPr>
  </w:style>
  <w:style w:type="paragraph" w:styleId="Puntoelenco">
    <w:name w:val="List Bullet"/>
    <w:basedOn w:val="Normale"/>
    <w:uiPriority w:val="9"/>
    <w:qFormat/>
    <w:rsid w:val="000B13C7"/>
    <w:pPr>
      <w:numPr>
        <w:numId w:val="3"/>
      </w:numPr>
      <w:tabs>
        <w:tab w:val="clear" w:pos="360"/>
        <w:tab w:val="num" w:pos="432"/>
      </w:tabs>
      <w:spacing w:before="120" w:after="120" w:line="240" w:lineRule="auto"/>
      <w:ind w:left="0" w:firstLine="0"/>
      <w:contextualSpacing/>
      <w:jc w:val="both"/>
    </w:pPr>
    <w:rPr>
      <w:rFonts w:ascii="Times New Roman" w:eastAsiaTheme="minorHAnsi" w:hAnsi="Times New Roman" w:cstheme="minorBidi"/>
      <w:szCs w:val="30"/>
      <w:lang w:eastAsia="ja-JP"/>
    </w:rPr>
  </w:style>
  <w:style w:type="paragraph" w:styleId="Didascalia">
    <w:name w:val="caption"/>
    <w:basedOn w:val="Normale"/>
    <w:next w:val="Normale"/>
    <w:uiPriority w:val="35"/>
    <w:unhideWhenUsed/>
    <w:qFormat/>
    <w:rsid w:val="000B13C7"/>
    <w:pPr>
      <w:keepNext/>
      <w:spacing w:before="240" w:after="0" w:line="240" w:lineRule="auto"/>
      <w:jc w:val="both"/>
    </w:pPr>
    <w:rPr>
      <w:rFonts w:ascii="Times New Roman" w:eastAsiaTheme="minorHAnsi" w:hAnsi="Times New Roman" w:cstheme="minorBidi"/>
      <w:i/>
      <w:iCs/>
      <w:sz w:val="20"/>
      <w:szCs w:val="1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1267</Words>
  <Characters>7227</Characters>
  <Application>Microsoft Office Word</Application>
  <DocSecurity>0</DocSecurity>
  <Lines>60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corradodecristofaro0@gmail.com</dc:creator>
  <cp:keywords/>
  <dc:description/>
  <cp:lastModifiedBy>corradodecristofaro0@gmail.com</cp:lastModifiedBy>
  <cp:revision>14</cp:revision>
  <dcterms:created xsi:type="dcterms:W3CDTF">2025-09-29T20:31:00Z</dcterms:created>
  <dcterms:modified xsi:type="dcterms:W3CDTF">2025-10-01T14:02:00Z</dcterms:modified>
</cp:coreProperties>
</file>