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Default="00DD64CA" w:rsidP="00DD64CA">
      <w:pPr>
        <w:pStyle w:val="Titolo2"/>
        <w:rPr>
          <w:lang w:val="en-GB"/>
        </w:rPr>
      </w:pPr>
      <w:bookmarkStart w:id="0" w:name="_Toc188282649"/>
    </w:p>
    <w:p w14:paraId="796FD293" w14:textId="77777777" w:rsidR="001B0E6D" w:rsidRDefault="001B0E6D" w:rsidP="001B0E6D">
      <w:pPr>
        <w:pStyle w:val="Titolo2"/>
        <w:jc w:val="center"/>
        <w:rPr>
          <w:rFonts w:ascii="Poppins" w:hAnsi="Poppins" w:cs="Poppins"/>
          <w:color w:val="124F1A" w:themeColor="accent3" w:themeShade="BF"/>
          <w:sz w:val="36"/>
          <w:szCs w:val="36"/>
          <w:lang w:val="en-GB"/>
        </w:rPr>
      </w:pPr>
      <w:bookmarkStart w:id="1" w:name="_Toc187013362"/>
      <w:bookmarkStart w:id="2" w:name="_Toc188269389"/>
      <w:bookmarkStart w:id="3" w:name="_Toc188282650"/>
      <w:bookmarkEnd w:id="0"/>
      <w:r w:rsidRPr="001B0E6D">
        <w:rPr>
          <w:rFonts w:ascii="Poppins" w:hAnsi="Poppins" w:cs="Poppins"/>
          <w:color w:val="124F1A" w:themeColor="accent3" w:themeShade="BF"/>
          <w:sz w:val="36"/>
          <w:szCs w:val="36"/>
          <w:lang w:val="en-GB"/>
        </w:rPr>
        <w:t>Istruzione e apprendimento permanente</w:t>
      </w:r>
      <w:bookmarkEnd w:id="1"/>
      <w:bookmarkEnd w:id="2"/>
      <w:bookmarkEnd w:id="3"/>
    </w:p>
    <w:p w14:paraId="51DB5875" w14:textId="77777777" w:rsidR="001B0E6D" w:rsidRPr="001B0E6D" w:rsidRDefault="001B0E6D" w:rsidP="001B0E6D">
      <w:pPr>
        <w:rPr>
          <w:lang w:val="en-GB" w:eastAsia="en-US"/>
        </w:rPr>
      </w:pPr>
    </w:p>
    <w:p w14:paraId="51EE5A4C" w14:textId="77777777" w:rsidR="001B0E6D" w:rsidRPr="008B346E" w:rsidRDefault="001B0E6D" w:rsidP="001B0E6D">
      <w:pPr>
        <w:jc w:val="both"/>
        <w:rPr>
          <w:rFonts w:ascii="Poppins" w:hAnsi="Poppins" w:cs="Poppins"/>
          <w:sz w:val="20"/>
          <w:szCs w:val="20"/>
          <w:lang w:val="en-GB"/>
        </w:rPr>
      </w:pPr>
      <w:r w:rsidRPr="008B346E">
        <w:rPr>
          <w:rFonts w:ascii="Poppins" w:hAnsi="Poppins" w:cs="Poppins"/>
          <w:sz w:val="20"/>
          <w:szCs w:val="20"/>
          <w:lang w:val="en-GB"/>
        </w:rPr>
        <w:t>Come evidenziato dalla letteratura esaminata, l'istruzione e l'apprendimento permanente sono fondamentali per promuovere un invecchiamento sano e rafforzare l'inclusione sociale ed economica degli anziani. La tabella seguente presenta, organizzati per dimensione, gli indicatori chiave che monitorano la partecipazione scolastica, le competenze digitali e il coinvolgimento in attività di apprendimento tra gli anziani.</w:t>
      </w:r>
    </w:p>
    <w:p w14:paraId="400AEA0E" w14:textId="77777777" w:rsidR="001B0E6D" w:rsidRPr="008B346E" w:rsidRDefault="001B0E6D" w:rsidP="001B0E6D">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13 Indicatori di istruzione e apprendimento permanente.</w:t>
      </w:r>
    </w:p>
    <w:tbl>
      <w:tblPr>
        <w:tblStyle w:val="Grigliatabella"/>
        <w:tblW w:w="0" w:type="auto"/>
        <w:tblInd w:w="0" w:type="dxa"/>
        <w:tblLook w:val="04A0" w:firstRow="1" w:lastRow="0" w:firstColumn="1" w:lastColumn="0" w:noHBand="0" w:noVBand="1"/>
      </w:tblPr>
      <w:tblGrid>
        <w:gridCol w:w="2709"/>
        <w:gridCol w:w="6919"/>
      </w:tblGrid>
      <w:tr w:rsidR="001B0E6D" w:rsidRPr="008B346E" w14:paraId="73C83252" w14:textId="77777777" w:rsidTr="00B74592">
        <w:tc>
          <w:tcPr>
            <w:tcW w:w="0" w:type="auto"/>
            <w:tcMar>
              <w:left w:w="28" w:type="dxa"/>
              <w:right w:w="28" w:type="dxa"/>
            </w:tcMar>
          </w:tcPr>
          <w:p w14:paraId="7DC1E9C2" w14:textId="77777777" w:rsidR="001B0E6D" w:rsidRPr="008B346E" w:rsidRDefault="001B0E6D"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28" w:type="dxa"/>
              <w:right w:w="28" w:type="dxa"/>
            </w:tcMar>
          </w:tcPr>
          <w:p w14:paraId="1331AD0B" w14:textId="77777777" w:rsidR="001B0E6D" w:rsidRPr="008B346E" w:rsidRDefault="001B0E6D" w:rsidP="00B74592">
            <w:pPr>
              <w:jc w:val="both"/>
              <w:rPr>
                <w:rFonts w:ascii="Poppins" w:hAnsi="Poppins" w:cs="Poppins"/>
                <w:b/>
                <w:bCs/>
                <w:lang w:val="en-GB"/>
              </w:rPr>
            </w:pPr>
            <w:r w:rsidRPr="008B346E">
              <w:rPr>
                <w:rFonts w:ascii="Poppins" w:hAnsi="Poppins" w:cs="Poppins"/>
                <w:b/>
                <w:bCs/>
                <w:lang w:val="en-GB"/>
              </w:rPr>
              <w:t>Descrizione e fonte</w:t>
            </w:r>
          </w:p>
        </w:tc>
      </w:tr>
      <w:tr w:rsidR="001B0E6D" w:rsidRPr="008B346E" w14:paraId="3401AF19" w14:textId="77777777" w:rsidTr="00B74592">
        <w:tc>
          <w:tcPr>
            <w:tcW w:w="0" w:type="auto"/>
            <w:gridSpan w:val="2"/>
            <w:tcMar>
              <w:left w:w="28" w:type="dxa"/>
              <w:right w:w="28" w:type="dxa"/>
            </w:tcMar>
          </w:tcPr>
          <w:p w14:paraId="623F5DE3" w14:textId="77777777" w:rsidR="001B0E6D" w:rsidRPr="008B346E" w:rsidRDefault="001B0E6D" w:rsidP="00B74592">
            <w:pPr>
              <w:jc w:val="both"/>
              <w:rPr>
                <w:rFonts w:ascii="Poppins" w:hAnsi="Poppins" w:cs="Poppins"/>
                <w:b/>
                <w:bCs/>
                <w:lang w:val="en-GB"/>
              </w:rPr>
            </w:pPr>
            <w:r w:rsidRPr="008B346E">
              <w:rPr>
                <w:rFonts w:ascii="Poppins" w:hAnsi="Poppins" w:cs="Poppins"/>
                <w:b/>
                <w:bCs/>
                <w:lang w:val="en-GB"/>
              </w:rPr>
              <w:t xml:space="preserve">Dimensione: </w:t>
            </w:r>
            <w:r w:rsidRPr="008B346E">
              <w:rPr>
                <w:rFonts w:ascii="Poppins" w:hAnsi="Poppins" w:cs="Poppins"/>
                <w:b/>
                <w:bCs/>
                <w:i/>
                <w:iCs/>
                <w:lang w:val="en-GB"/>
              </w:rPr>
              <w:t>livello di istruzione</w:t>
            </w:r>
          </w:p>
        </w:tc>
      </w:tr>
      <w:tr w:rsidR="001B0E6D" w:rsidRPr="008B346E" w14:paraId="09350537" w14:textId="77777777" w:rsidTr="00B74592">
        <w:tc>
          <w:tcPr>
            <w:tcW w:w="0" w:type="auto"/>
            <w:tcMar>
              <w:left w:w="28" w:type="dxa"/>
              <w:right w:w="28" w:type="dxa"/>
            </w:tcMar>
          </w:tcPr>
          <w:p w14:paraId="3FA71F8F" w14:textId="77777777" w:rsidR="001B0E6D" w:rsidRPr="008B346E" w:rsidRDefault="001B0E6D" w:rsidP="00B74592">
            <w:pPr>
              <w:jc w:val="both"/>
              <w:rPr>
                <w:rFonts w:ascii="Poppins" w:hAnsi="Poppins" w:cs="Poppins"/>
                <w:i/>
                <w:iCs/>
                <w:lang w:val="en-GB"/>
              </w:rPr>
            </w:pPr>
            <w:r w:rsidRPr="008B346E">
              <w:rPr>
                <w:rFonts w:ascii="Poppins" w:hAnsi="Poppins" w:cs="Poppins"/>
                <w:lang w:val="en-GB"/>
              </w:rPr>
              <w:t>Tasso di istruzione superiore degli anziani</w:t>
            </w:r>
          </w:p>
        </w:tc>
        <w:tc>
          <w:tcPr>
            <w:tcW w:w="0" w:type="auto"/>
            <w:tcMar>
              <w:left w:w="28" w:type="dxa"/>
              <w:right w:w="28" w:type="dxa"/>
            </w:tcMar>
          </w:tcPr>
          <w:p w14:paraId="097283C0" w14:textId="77777777" w:rsidR="001B0E6D" w:rsidRPr="008B346E" w:rsidRDefault="001B0E6D" w:rsidP="00B74592">
            <w:pPr>
              <w:jc w:val="both"/>
              <w:rPr>
                <w:rFonts w:ascii="Poppins" w:hAnsi="Poppins" w:cs="Poppins"/>
                <w:lang w:val="en-GB"/>
              </w:rPr>
            </w:pPr>
            <w:r w:rsidRPr="008B346E">
              <w:rPr>
                <w:rFonts w:ascii="Poppins" w:hAnsi="Poppins" w:cs="Poppins"/>
                <w:lang w:val="en-GB"/>
              </w:rPr>
              <w:t>Percentuale di anziani con almeno un titolo di studio di istruzione secondaria superiore, post-secondaria o terziaria. (ISTAT e Eurostat: EU-LFS; Istat -P&amp;H)</w:t>
            </w:r>
          </w:p>
        </w:tc>
      </w:tr>
      <w:tr w:rsidR="001B0E6D" w:rsidRPr="008B346E" w14:paraId="2BDFCEEE" w14:textId="77777777" w:rsidTr="00B74592">
        <w:tc>
          <w:tcPr>
            <w:tcW w:w="0" w:type="auto"/>
            <w:tcMar>
              <w:left w:w="28" w:type="dxa"/>
              <w:right w:w="28" w:type="dxa"/>
            </w:tcMar>
          </w:tcPr>
          <w:p w14:paraId="5215C5C1" w14:textId="77777777" w:rsidR="001B0E6D" w:rsidRPr="008B346E" w:rsidRDefault="001B0E6D" w:rsidP="00B74592">
            <w:pPr>
              <w:jc w:val="both"/>
              <w:rPr>
                <w:rFonts w:ascii="Poppins" w:hAnsi="Poppins" w:cs="Poppins"/>
                <w:i/>
                <w:iCs/>
                <w:lang w:val="en-GB"/>
              </w:rPr>
            </w:pPr>
            <w:r w:rsidRPr="008B346E">
              <w:rPr>
                <w:rFonts w:ascii="Poppins" w:hAnsi="Poppins" w:cs="Poppins"/>
                <w:lang w:val="en-GB"/>
              </w:rPr>
              <w:t>Tasso di istruzione terziaria degli anziani</w:t>
            </w:r>
          </w:p>
        </w:tc>
        <w:tc>
          <w:tcPr>
            <w:tcW w:w="0" w:type="auto"/>
            <w:tcMar>
              <w:left w:w="28" w:type="dxa"/>
              <w:right w:w="28" w:type="dxa"/>
            </w:tcMar>
          </w:tcPr>
          <w:p w14:paraId="28504E7D" w14:textId="77777777" w:rsidR="001B0E6D" w:rsidRPr="008B346E" w:rsidRDefault="001B0E6D" w:rsidP="00B74592">
            <w:pPr>
              <w:jc w:val="both"/>
              <w:rPr>
                <w:rFonts w:ascii="Poppins" w:hAnsi="Poppins" w:cs="Poppins"/>
                <w:lang w:val="en-GB"/>
              </w:rPr>
            </w:pPr>
            <w:r w:rsidRPr="008B346E">
              <w:rPr>
                <w:rFonts w:ascii="Poppins" w:hAnsi="Poppins" w:cs="Poppins"/>
                <w:lang w:val="en-GB"/>
              </w:rPr>
              <w:t>Quota di anziani con titolo di studio universitario. (ISTAT e Eurostat: EU-LFS; Istat -P&amp;H)</w:t>
            </w:r>
          </w:p>
        </w:tc>
      </w:tr>
      <w:tr w:rsidR="001B0E6D" w:rsidRPr="008B346E" w14:paraId="0A1A2775" w14:textId="77777777" w:rsidTr="00B74592">
        <w:tc>
          <w:tcPr>
            <w:tcW w:w="0" w:type="auto"/>
            <w:gridSpan w:val="2"/>
            <w:tcMar>
              <w:left w:w="28" w:type="dxa"/>
              <w:right w:w="28" w:type="dxa"/>
            </w:tcMar>
          </w:tcPr>
          <w:p w14:paraId="441238CF" w14:textId="77777777" w:rsidR="001B0E6D" w:rsidRPr="008B346E" w:rsidRDefault="001B0E6D" w:rsidP="00B74592">
            <w:pPr>
              <w:jc w:val="both"/>
              <w:rPr>
                <w:rFonts w:ascii="Poppins" w:hAnsi="Poppins" w:cs="Poppins"/>
                <w:lang w:val="en-GB"/>
              </w:rPr>
            </w:pPr>
            <w:r w:rsidRPr="008B346E">
              <w:rPr>
                <w:rFonts w:ascii="Poppins" w:hAnsi="Poppins" w:cs="Poppins"/>
                <w:b/>
                <w:bCs/>
                <w:lang w:val="en-GB"/>
              </w:rPr>
              <w:t>Dimensione: accesso all'istruzione</w:t>
            </w:r>
          </w:p>
        </w:tc>
      </w:tr>
      <w:tr w:rsidR="001B0E6D" w:rsidRPr="008B346E" w14:paraId="2AECF49F" w14:textId="77777777" w:rsidTr="00B74592">
        <w:tc>
          <w:tcPr>
            <w:tcW w:w="0" w:type="auto"/>
            <w:tcMar>
              <w:left w:w="28" w:type="dxa"/>
              <w:right w:w="28" w:type="dxa"/>
            </w:tcMar>
          </w:tcPr>
          <w:p w14:paraId="28686735" w14:textId="77777777" w:rsidR="001B0E6D" w:rsidRPr="008B346E" w:rsidRDefault="001B0E6D" w:rsidP="00B74592">
            <w:pPr>
              <w:jc w:val="both"/>
              <w:rPr>
                <w:rFonts w:ascii="Poppins" w:hAnsi="Poppins" w:cs="Poppins"/>
                <w:i/>
                <w:iCs/>
                <w:lang w:val="en-GB"/>
              </w:rPr>
            </w:pPr>
            <w:r w:rsidRPr="008B346E">
              <w:rPr>
                <w:rFonts w:ascii="Poppins" w:hAnsi="Poppins" w:cs="Poppins"/>
                <w:i/>
                <w:iCs/>
                <w:lang w:val="en-GB"/>
              </w:rPr>
              <w:t>Tasso di partecipazione all'istruzione e alla formazione</w:t>
            </w:r>
          </w:p>
        </w:tc>
        <w:tc>
          <w:tcPr>
            <w:tcW w:w="0" w:type="auto"/>
            <w:tcMar>
              <w:left w:w="28" w:type="dxa"/>
              <w:right w:w="28" w:type="dxa"/>
            </w:tcMar>
          </w:tcPr>
          <w:p w14:paraId="484C1C78" w14:textId="77777777" w:rsidR="001B0E6D" w:rsidRPr="008B346E" w:rsidRDefault="001B0E6D" w:rsidP="00B74592">
            <w:pPr>
              <w:jc w:val="both"/>
              <w:rPr>
                <w:rFonts w:ascii="Poppins" w:hAnsi="Poppins" w:cs="Poppins"/>
                <w:lang w:val="en-GB"/>
              </w:rPr>
            </w:pPr>
            <w:r w:rsidRPr="008B346E">
              <w:rPr>
                <w:rFonts w:ascii="Poppins" w:hAnsi="Poppins" w:cs="Poppins"/>
                <w:lang w:val="en-GB"/>
              </w:rPr>
              <w:t>Quota di adulti (anziani) che hanno preso parte a percorsi di istruzione e formazione formali e non formali nelle quattro settimane precedenti l'indagine. Fonte: EU-LFS; Istat -ADL.</w:t>
            </w:r>
          </w:p>
        </w:tc>
      </w:tr>
      <w:tr w:rsidR="001B0E6D" w:rsidRPr="008B346E" w14:paraId="04706819" w14:textId="77777777" w:rsidTr="00B74592">
        <w:tc>
          <w:tcPr>
            <w:tcW w:w="0" w:type="auto"/>
            <w:tcMar>
              <w:left w:w="28" w:type="dxa"/>
              <w:right w:w="28" w:type="dxa"/>
            </w:tcMar>
          </w:tcPr>
          <w:p w14:paraId="5F71471C" w14:textId="77777777" w:rsidR="001B0E6D" w:rsidRPr="008B346E" w:rsidRDefault="001B0E6D" w:rsidP="00B74592">
            <w:pPr>
              <w:jc w:val="both"/>
              <w:rPr>
                <w:rFonts w:ascii="Poppins" w:hAnsi="Poppins" w:cs="Poppins"/>
                <w:lang w:val="en-GB"/>
              </w:rPr>
            </w:pPr>
            <w:r w:rsidRPr="008B346E">
              <w:rPr>
                <w:rFonts w:ascii="Poppins" w:hAnsi="Poppins" w:cs="Poppins"/>
                <w:i/>
                <w:iCs/>
                <w:lang w:val="en-GB"/>
              </w:rPr>
              <w:t>Partecipazione all'istruzione formale</w:t>
            </w:r>
          </w:p>
        </w:tc>
        <w:tc>
          <w:tcPr>
            <w:tcW w:w="0" w:type="auto"/>
            <w:tcMar>
              <w:left w:w="28" w:type="dxa"/>
              <w:right w:w="28" w:type="dxa"/>
            </w:tcMar>
          </w:tcPr>
          <w:p w14:paraId="17C1E4BA" w14:textId="77777777" w:rsidR="001B0E6D" w:rsidRPr="008B346E" w:rsidRDefault="001B0E6D" w:rsidP="00B74592">
            <w:pPr>
              <w:jc w:val="both"/>
              <w:rPr>
                <w:rFonts w:ascii="Poppins" w:hAnsi="Poppins" w:cs="Poppins"/>
                <w:lang w:val="en-GB"/>
              </w:rPr>
            </w:pPr>
            <w:r w:rsidRPr="008B346E">
              <w:rPr>
                <w:rFonts w:ascii="Poppins" w:hAnsi="Poppins" w:cs="Poppins"/>
                <w:lang w:val="en-GB"/>
              </w:rPr>
              <w:t xml:space="preserve">Quota di adulti (anziani) che partecipano all'istruzione formale per fascia d'età. </w:t>
            </w:r>
            <w:r w:rsidRPr="008B346E">
              <w:rPr>
                <w:rFonts w:ascii="Poppins" w:hAnsi="Poppins" w:cs="Poppins"/>
                <w:color w:val="000000"/>
                <w:lang w:val="en-GB"/>
              </w:rPr>
              <w:t xml:space="preserve">Fonte: </w:t>
            </w:r>
            <w:r w:rsidRPr="008B346E">
              <w:rPr>
                <w:rFonts w:ascii="Poppins" w:hAnsi="Poppins" w:cs="Poppins"/>
                <w:lang w:val="en-GB"/>
              </w:rPr>
              <w:t xml:space="preserve">Istat -ADL </w:t>
            </w:r>
            <w:r w:rsidRPr="008B346E">
              <w:rPr>
                <w:rFonts w:ascii="Poppins" w:hAnsi="Poppins" w:cs="Poppins"/>
                <w:color w:val="000000"/>
                <w:lang w:val="en-GB"/>
              </w:rPr>
              <w:t>. Fonte: Istat-Tuse .</w:t>
            </w:r>
          </w:p>
        </w:tc>
      </w:tr>
      <w:tr w:rsidR="001B0E6D" w:rsidRPr="008B346E" w14:paraId="69F101AC" w14:textId="77777777" w:rsidTr="00B74592">
        <w:tc>
          <w:tcPr>
            <w:tcW w:w="0" w:type="auto"/>
            <w:tcMar>
              <w:left w:w="28" w:type="dxa"/>
              <w:right w:w="28" w:type="dxa"/>
            </w:tcMar>
          </w:tcPr>
          <w:p w14:paraId="67564738" w14:textId="77777777" w:rsidR="001B0E6D" w:rsidRPr="008B346E" w:rsidRDefault="001B0E6D" w:rsidP="00B74592">
            <w:pPr>
              <w:jc w:val="both"/>
              <w:rPr>
                <w:rFonts w:ascii="Poppins" w:hAnsi="Poppins" w:cs="Poppins"/>
                <w:i/>
                <w:iCs/>
                <w:lang w:val="en-GB"/>
              </w:rPr>
            </w:pPr>
            <w:r w:rsidRPr="008B346E">
              <w:rPr>
                <w:rFonts w:ascii="Poppins" w:hAnsi="Poppins" w:cs="Poppins"/>
                <w:i/>
                <w:iCs/>
                <w:lang w:val="en-GB"/>
              </w:rPr>
              <w:t>Quota di tempo dedicata all'istruzione e alla formazione</w:t>
            </w:r>
          </w:p>
        </w:tc>
        <w:tc>
          <w:tcPr>
            <w:tcW w:w="0" w:type="auto"/>
            <w:tcMar>
              <w:left w:w="28" w:type="dxa"/>
              <w:right w:w="28" w:type="dxa"/>
            </w:tcMar>
          </w:tcPr>
          <w:p w14:paraId="73F71BC3" w14:textId="77777777" w:rsidR="001B0E6D" w:rsidRPr="008B346E" w:rsidRDefault="001B0E6D" w:rsidP="00B74592">
            <w:pPr>
              <w:jc w:val="both"/>
              <w:rPr>
                <w:rFonts w:ascii="Poppins" w:hAnsi="Poppins" w:cs="Poppins"/>
                <w:lang w:val="en-GB"/>
              </w:rPr>
            </w:pPr>
            <w:r w:rsidRPr="008B346E">
              <w:rPr>
                <w:rFonts w:ascii="Poppins" w:hAnsi="Poppins" w:cs="Poppins"/>
                <w:color w:val="000000"/>
                <w:lang w:val="en-GB"/>
              </w:rPr>
              <w:t>Fonte: Istat-Tuse .</w:t>
            </w:r>
          </w:p>
        </w:tc>
      </w:tr>
      <w:tr w:rsidR="001B0E6D" w:rsidRPr="008B346E" w14:paraId="1F722E5D" w14:textId="77777777" w:rsidTr="00B74592">
        <w:tc>
          <w:tcPr>
            <w:tcW w:w="0" w:type="auto"/>
            <w:tcMar>
              <w:left w:w="28" w:type="dxa"/>
              <w:right w:w="28" w:type="dxa"/>
            </w:tcMar>
          </w:tcPr>
          <w:p w14:paraId="5DDA0ACF" w14:textId="77777777" w:rsidR="001B0E6D" w:rsidRPr="008B346E" w:rsidRDefault="001B0E6D" w:rsidP="00B74592">
            <w:pPr>
              <w:jc w:val="both"/>
              <w:rPr>
                <w:rFonts w:ascii="Poppins" w:hAnsi="Poppins" w:cs="Poppins"/>
                <w:i/>
                <w:iCs/>
                <w:lang w:val="en-GB"/>
              </w:rPr>
            </w:pPr>
            <w:r w:rsidRPr="008B346E">
              <w:rPr>
                <w:rFonts w:ascii="Poppins" w:hAnsi="Poppins" w:cs="Poppins"/>
                <w:i/>
                <w:iCs/>
                <w:lang w:val="en-GB"/>
              </w:rPr>
              <w:t>Barriere alla partecipazione all'apprendimento permanente</w:t>
            </w:r>
          </w:p>
        </w:tc>
        <w:tc>
          <w:tcPr>
            <w:tcW w:w="0" w:type="auto"/>
            <w:tcMar>
              <w:left w:w="28" w:type="dxa"/>
              <w:right w:w="28" w:type="dxa"/>
            </w:tcMar>
          </w:tcPr>
          <w:p w14:paraId="10DD938C" w14:textId="77777777" w:rsidR="001B0E6D" w:rsidRPr="008B346E" w:rsidRDefault="001B0E6D" w:rsidP="00B74592">
            <w:pPr>
              <w:jc w:val="both"/>
              <w:rPr>
                <w:rFonts w:ascii="Poppins" w:hAnsi="Poppins" w:cs="Poppins"/>
                <w:color w:val="000000"/>
                <w:lang w:val="en-GB"/>
              </w:rPr>
            </w:pPr>
            <w:r w:rsidRPr="008B346E">
              <w:rPr>
                <w:rFonts w:ascii="Poppins" w:hAnsi="Poppins" w:cs="Poppins"/>
                <w:color w:val="000000"/>
                <w:lang w:val="en-GB"/>
              </w:rPr>
              <w:t xml:space="preserve">Percentuale di individui che citano motivi per non partecipare a corsi di istruzione o formazione (ad esempio, costi, mancanza di tempo o accesso). Fonte: </w:t>
            </w:r>
            <w:r w:rsidRPr="008B346E">
              <w:rPr>
                <w:rFonts w:ascii="Poppins" w:hAnsi="Poppins" w:cs="Poppins"/>
                <w:lang w:val="en-GB"/>
              </w:rPr>
              <w:t xml:space="preserve">Istat -ADL; </w:t>
            </w:r>
            <w:r w:rsidRPr="008B346E">
              <w:rPr>
                <w:rFonts w:ascii="Poppins" w:hAnsi="Poppins" w:cs="Poppins"/>
                <w:color w:val="000000"/>
                <w:lang w:val="en-GB"/>
              </w:rPr>
              <w:t>Istat-Tuse .</w:t>
            </w:r>
          </w:p>
        </w:tc>
      </w:tr>
      <w:tr w:rsidR="001B0E6D" w:rsidRPr="008B346E" w14:paraId="7F857A13" w14:textId="77777777" w:rsidTr="00B74592">
        <w:tc>
          <w:tcPr>
            <w:tcW w:w="0" w:type="auto"/>
            <w:tcMar>
              <w:left w:w="28" w:type="dxa"/>
              <w:right w:w="28" w:type="dxa"/>
            </w:tcMar>
          </w:tcPr>
          <w:p w14:paraId="7A696AB7" w14:textId="77777777" w:rsidR="001B0E6D" w:rsidRPr="008B346E" w:rsidRDefault="001B0E6D" w:rsidP="00B74592">
            <w:pPr>
              <w:jc w:val="both"/>
              <w:rPr>
                <w:rFonts w:ascii="Poppins" w:hAnsi="Poppins" w:cs="Poppins"/>
                <w:i/>
                <w:iCs/>
                <w:lang w:val="en-GB"/>
              </w:rPr>
            </w:pPr>
            <w:r w:rsidRPr="008B346E">
              <w:rPr>
                <w:rFonts w:ascii="Poppins" w:hAnsi="Poppins" w:cs="Poppins"/>
                <w:i/>
                <w:iCs/>
                <w:lang w:val="en-GB"/>
              </w:rPr>
              <w:t>Spese per l'istruzione e la formazione</w:t>
            </w:r>
          </w:p>
        </w:tc>
        <w:tc>
          <w:tcPr>
            <w:tcW w:w="0" w:type="auto"/>
            <w:tcMar>
              <w:left w:w="28" w:type="dxa"/>
              <w:right w:w="28" w:type="dxa"/>
            </w:tcMar>
          </w:tcPr>
          <w:p w14:paraId="392FF2E1" w14:textId="77777777" w:rsidR="001B0E6D" w:rsidRPr="008B346E" w:rsidRDefault="001B0E6D" w:rsidP="00B74592">
            <w:pPr>
              <w:jc w:val="both"/>
              <w:rPr>
                <w:rFonts w:ascii="Poppins" w:hAnsi="Poppins" w:cs="Poppins"/>
                <w:color w:val="000000"/>
                <w:lang w:val="en-GB"/>
              </w:rPr>
            </w:pPr>
            <w:r w:rsidRPr="008B346E">
              <w:rPr>
                <w:rFonts w:ascii="Poppins" w:hAnsi="Poppins" w:cs="Poppins"/>
                <w:color w:val="000000"/>
                <w:lang w:val="en-GB"/>
              </w:rPr>
              <w:t xml:space="preserve">Fonte: </w:t>
            </w:r>
            <w:r w:rsidRPr="008B346E">
              <w:rPr>
                <w:rFonts w:ascii="Poppins" w:hAnsi="Poppins" w:cs="Poppins"/>
                <w:lang w:val="en-GB"/>
              </w:rPr>
              <w:t xml:space="preserve">Istat -ADL; </w:t>
            </w:r>
            <w:r w:rsidRPr="008B346E">
              <w:rPr>
                <w:rFonts w:ascii="Poppins" w:hAnsi="Poppins" w:cs="Poppins"/>
                <w:color w:val="000000"/>
                <w:lang w:val="en-GB"/>
              </w:rPr>
              <w:t>Istat-Tuse .</w:t>
            </w:r>
          </w:p>
        </w:tc>
      </w:tr>
      <w:tr w:rsidR="001B0E6D" w:rsidRPr="008B346E" w14:paraId="255FC12E" w14:textId="77777777" w:rsidTr="00B74592">
        <w:tc>
          <w:tcPr>
            <w:tcW w:w="0" w:type="auto"/>
            <w:tcMar>
              <w:left w:w="28" w:type="dxa"/>
              <w:right w:w="28" w:type="dxa"/>
            </w:tcMar>
          </w:tcPr>
          <w:p w14:paraId="3EA93106" w14:textId="77777777" w:rsidR="001B0E6D" w:rsidRPr="008B346E" w:rsidRDefault="001B0E6D" w:rsidP="00B74592">
            <w:pPr>
              <w:jc w:val="both"/>
              <w:rPr>
                <w:rFonts w:ascii="Poppins" w:hAnsi="Poppins" w:cs="Poppins"/>
                <w:i/>
                <w:iCs/>
                <w:lang w:val="en-GB"/>
              </w:rPr>
            </w:pPr>
            <w:r w:rsidRPr="008B346E">
              <w:rPr>
                <w:rFonts w:ascii="Poppins" w:hAnsi="Poppins" w:cs="Poppins"/>
                <w:i/>
                <w:iCs/>
                <w:lang w:val="en-GB"/>
              </w:rPr>
              <w:lastRenderedPageBreak/>
              <w:t>Apprendimento autodiretto</w:t>
            </w:r>
          </w:p>
        </w:tc>
        <w:tc>
          <w:tcPr>
            <w:tcW w:w="0" w:type="auto"/>
            <w:tcMar>
              <w:left w:w="28" w:type="dxa"/>
              <w:right w:w="28" w:type="dxa"/>
            </w:tcMar>
          </w:tcPr>
          <w:p w14:paraId="7BCA9269" w14:textId="77777777" w:rsidR="001B0E6D" w:rsidRPr="008B346E" w:rsidRDefault="001B0E6D" w:rsidP="00B74592">
            <w:pPr>
              <w:jc w:val="both"/>
              <w:rPr>
                <w:rFonts w:ascii="Poppins" w:hAnsi="Poppins" w:cs="Poppins"/>
                <w:lang w:val="en-GB"/>
              </w:rPr>
            </w:pPr>
            <w:r w:rsidRPr="008B346E">
              <w:rPr>
                <w:rFonts w:ascii="Poppins" w:hAnsi="Poppins" w:cs="Poppins"/>
                <w:lang w:val="en-GB"/>
              </w:rPr>
              <w:t xml:space="preserve">Percentuale di adulti impegnati in attività di apprendimento informale autogestite (ad esempio, lettura, apprendimento di un'abilità online). Fonte: Istat -ADL; </w:t>
            </w:r>
            <w:r w:rsidRPr="008B346E">
              <w:rPr>
                <w:rFonts w:ascii="Poppins" w:hAnsi="Poppins" w:cs="Poppins"/>
                <w:color w:val="000000"/>
                <w:lang w:val="en-GB"/>
              </w:rPr>
              <w:t xml:space="preserve">Istat-Tuse . (vedi anche Partecipazione </w:t>
            </w:r>
            <w:r w:rsidRPr="008B346E">
              <w:rPr>
                <w:rFonts w:ascii="Poppins" w:hAnsi="Poppins" w:cs="Poppins"/>
                <w:i/>
                <w:iCs/>
                <w:color w:val="000000"/>
                <w:lang w:val="en-GB"/>
              </w:rPr>
              <w:t xml:space="preserve">ad attività culturali e ricreative </w:t>
            </w:r>
            <w:r w:rsidRPr="008B346E">
              <w:rPr>
                <w:rFonts w:ascii="Poppins" w:hAnsi="Poppins" w:cs="Poppins"/>
                <w:color w:val="000000"/>
                <w:lang w:val="en-GB"/>
              </w:rPr>
              <w:t>nella Tabella 12).</w:t>
            </w:r>
          </w:p>
        </w:tc>
      </w:tr>
      <w:tr w:rsidR="001B0E6D" w:rsidRPr="008B346E" w14:paraId="0457D922" w14:textId="77777777" w:rsidTr="00B74592">
        <w:tc>
          <w:tcPr>
            <w:tcW w:w="0" w:type="auto"/>
            <w:tcMar>
              <w:left w:w="28" w:type="dxa"/>
              <w:right w:w="28" w:type="dxa"/>
            </w:tcMar>
          </w:tcPr>
          <w:p w14:paraId="6582BF13" w14:textId="77777777" w:rsidR="001B0E6D" w:rsidRPr="008B346E" w:rsidRDefault="001B0E6D" w:rsidP="00B74592">
            <w:pPr>
              <w:jc w:val="both"/>
              <w:rPr>
                <w:rFonts w:ascii="Poppins" w:hAnsi="Poppins" w:cs="Poppins"/>
                <w:i/>
                <w:iCs/>
                <w:lang w:val="en-GB"/>
              </w:rPr>
            </w:pPr>
            <w:r w:rsidRPr="008B346E">
              <w:rPr>
                <w:rFonts w:ascii="Poppins" w:hAnsi="Poppins" w:cs="Poppins"/>
                <w:b/>
                <w:bCs/>
                <w:lang w:val="en-GB"/>
              </w:rPr>
              <w:t xml:space="preserve">Dominio: </w:t>
            </w:r>
            <w:r w:rsidRPr="008B346E">
              <w:rPr>
                <w:rFonts w:ascii="Poppins" w:hAnsi="Poppins" w:cs="Poppins"/>
                <w:b/>
                <w:bCs/>
                <w:i/>
                <w:iCs/>
                <w:lang w:val="en-GB"/>
              </w:rPr>
              <w:t>uso delle TIC</w:t>
            </w:r>
            <w:r w:rsidRPr="008B346E">
              <w:rPr>
                <w:rFonts w:ascii="Poppins" w:hAnsi="Poppins" w:cs="Poppins"/>
                <w:b/>
                <w:bCs/>
                <w:lang w:val="en-GB"/>
              </w:rPr>
              <w:t xml:space="preserve"> </w:t>
            </w:r>
          </w:p>
        </w:tc>
        <w:tc>
          <w:tcPr>
            <w:tcW w:w="0" w:type="auto"/>
            <w:tcMar>
              <w:left w:w="28" w:type="dxa"/>
              <w:right w:w="28" w:type="dxa"/>
            </w:tcMar>
          </w:tcPr>
          <w:p w14:paraId="63E93309" w14:textId="77777777" w:rsidR="001B0E6D" w:rsidRPr="008B346E" w:rsidRDefault="001B0E6D" w:rsidP="00B74592">
            <w:pPr>
              <w:jc w:val="both"/>
              <w:rPr>
                <w:rFonts w:ascii="Poppins" w:hAnsi="Poppins" w:cs="Poppins"/>
                <w:lang w:val="en-GB"/>
              </w:rPr>
            </w:pPr>
          </w:p>
        </w:tc>
      </w:tr>
      <w:tr w:rsidR="001B0E6D" w:rsidRPr="008B346E" w14:paraId="7FC77217" w14:textId="77777777" w:rsidTr="00B74592">
        <w:tc>
          <w:tcPr>
            <w:tcW w:w="0" w:type="auto"/>
            <w:tcMar>
              <w:left w:w="28" w:type="dxa"/>
              <w:right w:w="28" w:type="dxa"/>
            </w:tcMar>
          </w:tcPr>
          <w:p w14:paraId="3931A04E" w14:textId="77777777" w:rsidR="001B0E6D" w:rsidRPr="008B346E" w:rsidRDefault="001B0E6D" w:rsidP="00B74592">
            <w:pPr>
              <w:jc w:val="both"/>
              <w:rPr>
                <w:rFonts w:ascii="Poppins" w:hAnsi="Poppins" w:cs="Poppins"/>
                <w:b/>
                <w:bCs/>
                <w:lang w:val="en-GB"/>
              </w:rPr>
            </w:pPr>
            <w:r w:rsidRPr="008B346E">
              <w:rPr>
                <w:rFonts w:ascii="Poppins" w:hAnsi="Poppins" w:cs="Poppins"/>
                <w:lang w:val="en-GB"/>
              </w:rPr>
              <w:t>Competenze digitali complessive</w:t>
            </w:r>
          </w:p>
        </w:tc>
        <w:tc>
          <w:tcPr>
            <w:tcW w:w="0" w:type="auto"/>
            <w:tcMar>
              <w:left w:w="28" w:type="dxa"/>
              <w:right w:w="28" w:type="dxa"/>
            </w:tcMar>
          </w:tcPr>
          <w:p w14:paraId="3FDF9798" w14:textId="77777777" w:rsidR="001B0E6D" w:rsidRPr="008B346E" w:rsidRDefault="001B0E6D" w:rsidP="00B74592">
            <w:pPr>
              <w:jc w:val="both"/>
              <w:rPr>
                <w:rFonts w:ascii="Poppins" w:hAnsi="Poppins" w:cs="Poppins"/>
                <w:lang w:val="en-GB"/>
              </w:rPr>
            </w:pPr>
            <w:r w:rsidRPr="008B346E">
              <w:rPr>
                <w:rFonts w:ascii="Poppins" w:hAnsi="Poppins" w:cs="Poppins"/>
                <w:lang w:val="en-GB"/>
              </w:rPr>
              <w:t>L'indicatore complessivo delle competenze digitali si basa su attività selezionate di informatica e Internet in quattro aree: competenze informatiche, competenze comunicative, capacità di problem solving e competenze software. Classifica gli individui in categorie, con "competenze di base" che rappresenta il livello più alto, in cui gli individui dimostrano la capacità di svolgere un'ampia gamma di attività in ciascuna area. Fonte: EU-ICT.</w:t>
            </w:r>
          </w:p>
        </w:tc>
      </w:tr>
      <w:tr w:rsidR="001B0E6D" w:rsidRPr="008B346E" w14:paraId="6BB894CB" w14:textId="77777777" w:rsidTr="00B74592">
        <w:tc>
          <w:tcPr>
            <w:tcW w:w="0" w:type="auto"/>
            <w:tcMar>
              <w:left w:w="28" w:type="dxa"/>
              <w:right w:w="28" w:type="dxa"/>
            </w:tcMar>
          </w:tcPr>
          <w:p w14:paraId="2170CE53" w14:textId="77777777" w:rsidR="001B0E6D" w:rsidRPr="008B346E" w:rsidRDefault="001B0E6D" w:rsidP="00B74592">
            <w:pPr>
              <w:jc w:val="both"/>
              <w:rPr>
                <w:rFonts w:ascii="Poppins" w:hAnsi="Poppins" w:cs="Poppins"/>
                <w:i/>
                <w:iCs/>
                <w:lang w:val="en-GB"/>
              </w:rPr>
            </w:pPr>
            <w:r w:rsidRPr="008B346E">
              <w:rPr>
                <w:rFonts w:ascii="Poppins" w:hAnsi="Poppins" w:cs="Poppins"/>
                <w:lang w:val="en-GB"/>
              </w:rPr>
              <w:t>Persone che non hanno mai usato un computer</w:t>
            </w:r>
          </w:p>
        </w:tc>
        <w:tc>
          <w:tcPr>
            <w:tcW w:w="0" w:type="auto"/>
            <w:tcMar>
              <w:left w:w="28" w:type="dxa"/>
              <w:right w:w="28" w:type="dxa"/>
            </w:tcMar>
          </w:tcPr>
          <w:p w14:paraId="7FA80444" w14:textId="77777777" w:rsidR="001B0E6D" w:rsidRPr="008B346E" w:rsidRDefault="001B0E6D" w:rsidP="00B74592">
            <w:pPr>
              <w:jc w:val="both"/>
              <w:rPr>
                <w:rFonts w:ascii="Poppins" w:hAnsi="Poppins" w:cs="Poppins"/>
                <w:lang w:val="en-GB"/>
              </w:rPr>
            </w:pPr>
            <w:r w:rsidRPr="008B346E">
              <w:rPr>
                <w:rFonts w:ascii="Poppins" w:hAnsi="Poppins" w:cs="Poppins"/>
                <w:lang w:val="en-GB"/>
              </w:rPr>
              <w:t>Fonte: EU-ICT.</w:t>
            </w:r>
          </w:p>
        </w:tc>
      </w:tr>
      <w:tr w:rsidR="001B0E6D" w:rsidRPr="008B346E" w14:paraId="37C13868" w14:textId="77777777" w:rsidTr="00B74592">
        <w:tc>
          <w:tcPr>
            <w:tcW w:w="0" w:type="auto"/>
            <w:tcMar>
              <w:left w:w="28" w:type="dxa"/>
              <w:right w:w="28" w:type="dxa"/>
            </w:tcMar>
          </w:tcPr>
          <w:p w14:paraId="233125C3" w14:textId="77777777" w:rsidR="001B0E6D" w:rsidRPr="008B346E" w:rsidRDefault="001B0E6D" w:rsidP="00B74592">
            <w:pPr>
              <w:jc w:val="both"/>
              <w:rPr>
                <w:rFonts w:ascii="Poppins" w:hAnsi="Poppins" w:cs="Poppins"/>
                <w:i/>
                <w:iCs/>
                <w:lang w:val="en-GB"/>
              </w:rPr>
            </w:pPr>
            <w:r w:rsidRPr="008B346E">
              <w:rPr>
                <w:rFonts w:ascii="Poppins" w:hAnsi="Poppins" w:cs="Poppins"/>
                <w:lang w:val="en-GB"/>
              </w:rPr>
              <w:t>Attività di comunicazione su Internet</w:t>
            </w:r>
          </w:p>
        </w:tc>
        <w:tc>
          <w:tcPr>
            <w:tcW w:w="0" w:type="auto"/>
            <w:tcMar>
              <w:left w:w="28" w:type="dxa"/>
              <w:right w:w="28" w:type="dxa"/>
            </w:tcMar>
          </w:tcPr>
          <w:p w14:paraId="2F82609D" w14:textId="77777777" w:rsidR="001B0E6D" w:rsidRPr="008B346E" w:rsidRDefault="001B0E6D" w:rsidP="00B74592">
            <w:pPr>
              <w:jc w:val="both"/>
              <w:rPr>
                <w:rFonts w:ascii="Poppins" w:hAnsi="Poppins" w:cs="Poppins"/>
                <w:lang w:val="en-GB"/>
              </w:rPr>
            </w:pPr>
            <w:r w:rsidRPr="008B346E">
              <w:rPr>
                <w:rFonts w:ascii="Poppins" w:hAnsi="Poppins" w:cs="Poppins"/>
                <w:lang w:val="en-GB"/>
              </w:rPr>
              <w:t>Questo indicatore monitora le attività Internet svolte dagli intervistati per scopi privati nei tre mesi precedenti l'indagine. Le attività includono l'invio/ricezione di e-mail, le telefonate/videochiamate e la partecipazione ai social network. Fonte: EU-ICT.</w:t>
            </w:r>
          </w:p>
        </w:tc>
      </w:tr>
      <w:tr w:rsidR="001B0E6D" w:rsidRPr="008B346E" w14:paraId="6B93190F" w14:textId="77777777" w:rsidTr="00B74592">
        <w:tc>
          <w:tcPr>
            <w:tcW w:w="0" w:type="auto"/>
            <w:tcMar>
              <w:left w:w="28" w:type="dxa"/>
              <w:right w:w="28" w:type="dxa"/>
            </w:tcMar>
          </w:tcPr>
          <w:p w14:paraId="0A9DD1AA" w14:textId="77777777" w:rsidR="001B0E6D" w:rsidRPr="008B346E" w:rsidRDefault="001B0E6D" w:rsidP="00B74592">
            <w:pPr>
              <w:jc w:val="both"/>
              <w:rPr>
                <w:rFonts w:ascii="Poppins" w:hAnsi="Poppins" w:cs="Poppins"/>
                <w:lang w:val="en-GB"/>
              </w:rPr>
            </w:pPr>
            <w:r w:rsidRPr="008B346E">
              <w:rPr>
                <w:rFonts w:ascii="Poppins" w:hAnsi="Poppins" w:cs="Poppins"/>
                <w:lang w:val="en-GB"/>
              </w:rPr>
              <w:t>Utilizzo dell'Internet Banking</w:t>
            </w:r>
          </w:p>
        </w:tc>
        <w:tc>
          <w:tcPr>
            <w:tcW w:w="0" w:type="auto"/>
            <w:tcMar>
              <w:left w:w="28" w:type="dxa"/>
              <w:right w:w="28" w:type="dxa"/>
            </w:tcMar>
          </w:tcPr>
          <w:p w14:paraId="63811F1A" w14:textId="77777777" w:rsidR="001B0E6D" w:rsidRPr="008B346E" w:rsidRDefault="001B0E6D" w:rsidP="00B74592">
            <w:pPr>
              <w:jc w:val="both"/>
              <w:rPr>
                <w:rFonts w:ascii="Poppins" w:hAnsi="Poppins" w:cs="Poppins"/>
                <w:lang w:val="en-GB"/>
              </w:rPr>
            </w:pPr>
            <w:r w:rsidRPr="008B346E">
              <w:rPr>
                <w:rFonts w:ascii="Poppins" w:hAnsi="Poppins" w:cs="Poppins"/>
                <w:lang w:val="en-GB"/>
              </w:rPr>
              <w:t>Percentuale di intervistati che hanno utilizzato l'internet banking per scopi personali nei tre mesi precedenti l'indagine. Fonte: EU-ICT.</w:t>
            </w:r>
          </w:p>
        </w:tc>
      </w:tr>
      <w:tr w:rsidR="001B0E6D" w:rsidRPr="008B346E" w14:paraId="02A54C6A" w14:textId="77777777" w:rsidTr="00B74592">
        <w:tc>
          <w:tcPr>
            <w:tcW w:w="0" w:type="auto"/>
            <w:tcMar>
              <w:left w:w="28" w:type="dxa"/>
              <w:right w:w="28" w:type="dxa"/>
            </w:tcMar>
          </w:tcPr>
          <w:p w14:paraId="053554E1" w14:textId="77777777" w:rsidR="001B0E6D" w:rsidRPr="008B346E" w:rsidRDefault="001B0E6D" w:rsidP="00B74592">
            <w:pPr>
              <w:jc w:val="both"/>
              <w:rPr>
                <w:rFonts w:ascii="Poppins" w:hAnsi="Poppins" w:cs="Poppins"/>
                <w:lang w:val="en-GB"/>
              </w:rPr>
            </w:pPr>
            <w:r w:rsidRPr="008B346E">
              <w:rPr>
                <w:rFonts w:ascii="Poppins" w:hAnsi="Poppins" w:cs="Poppins"/>
                <w:lang w:val="en-GB"/>
              </w:rPr>
              <w:t>Ricerca di informazioni sulla salute online</w:t>
            </w:r>
          </w:p>
        </w:tc>
        <w:tc>
          <w:tcPr>
            <w:tcW w:w="0" w:type="auto"/>
            <w:tcMar>
              <w:left w:w="28" w:type="dxa"/>
              <w:right w:w="28" w:type="dxa"/>
            </w:tcMar>
          </w:tcPr>
          <w:p w14:paraId="6A05FC19" w14:textId="77777777" w:rsidR="001B0E6D" w:rsidRPr="008B346E" w:rsidRDefault="001B0E6D" w:rsidP="00B74592">
            <w:pPr>
              <w:jc w:val="both"/>
              <w:rPr>
                <w:rFonts w:ascii="Poppins" w:hAnsi="Poppins" w:cs="Poppins"/>
                <w:lang w:val="en-GB"/>
              </w:rPr>
            </w:pPr>
            <w:r w:rsidRPr="008B346E">
              <w:rPr>
                <w:rFonts w:ascii="Poppins" w:hAnsi="Poppins" w:cs="Poppins"/>
                <w:lang w:val="en-GB"/>
              </w:rPr>
              <w:t>Percentuale di intervistati che hanno utilizzato Internet per cercare informazioni sanitarie per scopi personali nei tre mesi precedenti l'indagine. Fonte: EU-ICT.</w:t>
            </w:r>
          </w:p>
        </w:tc>
      </w:tr>
    </w:tbl>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F0CF" w14:textId="77777777" w:rsidR="00F81A84" w:rsidRDefault="00F81A84" w:rsidP="0079697F">
      <w:r>
        <w:separator/>
      </w:r>
    </w:p>
  </w:endnote>
  <w:endnote w:type="continuationSeparator" w:id="0">
    <w:p w14:paraId="49DECFFB" w14:textId="77777777" w:rsidR="00F81A84" w:rsidRDefault="00F81A84"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56EF4" w14:textId="77777777" w:rsidR="00F81A84" w:rsidRDefault="00F81A84" w:rsidP="0079697F">
      <w:r>
        <w:separator/>
      </w:r>
    </w:p>
  </w:footnote>
  <w:footnote w:type="continuationSeparator" w:id="0">
    <w:p w14:paraId="02BF7498" w14:textId="77777777" w:rsidR="00F81A84" w:rsidRDefault="00F81A84"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F6176"/>
    <w:rsid w:val="0040179F"/>
    <w:rsid w:val="004C207B"/>
    <w:rsid w:val="004F0188"/>
    <w:rsid w:val="005D01DF"/>
    <w:rsid w:val="00640CE0"/>
    <w:rsid w:val="007271A8"/>
    <w:rsid w:val="007657C5"/>
    <w:rsid w:val="00775CAA"/>
    <w:rsid w:val="007869FB"/>
    <w:rsid w:val="0079697F"/>
    <w:rsid w:val="00806D9D"/>
    <w:rsid w:val="00854359"/>
    <w:rsid w:val="008D1363"/>
    <w:rsid w:val="009770E2"/>
    <w:rsid w:val="009E1892"/>
    <w:rsid w:val="009E731E"/>
    <w:rsid w:val="00A0407F"/>
    <w:rsid w:val="00A42980"/>
    <w:rsid w:val="00A65CF0"/>
    <w:rsid w:val="00B63973"/>
    <w:rsid w:val="00B72DDC"/>
    <w:rsid w:val="00C72F59"/>
    <w:rsid w:val="00C875F3"/>
    <w:rsid w:val="00CC5476"/>
    <w:rsid w:val="00CF3DA8"/>
    <w:rsid w:val="00D42E8F"/>
    <w:rsid w:val="00D57771"/>
    <w:rsid w:val="00DA4184"/>
    <w:rsid w:val="00DA45F1"/>
    <w:rsid w:val="00DB3E72"/>
    <w:rsid w:val="00DD64CA"/>
    <w:rsid w:val="00EB31EA"/>
    <w:rsid w:val="00F12A1B"/>
    <w:rsid w:val="00F35BB5"/>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16</cp:revision>
  <dcterms:created xsi:type="dcterms:W3CDTF">2025-09-29T20:31:00Z</dcterms:created>
  <dcterms:modified xsi:type="dcterms:W3CDTF">2025-09-30T07:37:00Z</dcterms:modified>
</cp:coreProperties>
</file>