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97CCF" w14:textId="77777777" w:rsidR="00DD64CA" w:rsidRDefault="00DD64CA" w:rsidP="00DD64CA">
      <w:pPr>
        <w:pStyle w:val="Titolo2"/>
        <w:rPr>
          <w:lang w:val="en-GB"/>
        </w:rPr>
      </w:pPr>
      <w:bookmarkStart w:id="0" w:name="_Toc188282649"/>
    </w:p>
    <w:p w14:paraId="7A0872EE" w14:textId="1C42A53B" w:rsidR="00DD64CA" w:rsidRDefault="00DD64CA" w:rsidP="00DD64CA">
      <w:pPr>
        <w:pStyle w:val="Titolo2"/>
        <w:jc w:val="center"/>
        <w:rPr>
          <w:rFonts w:ascii="Poppins" w:hAnsi="Poppins" w:cs="Poppins"/>
          <w:color w:val="124F1A" w:themeColor="accent3" w:themeShade="BF"/>
          <w:sz w:val="36"/>
          <w:szCs w:val="36"/>
          <w:lang w:val="en-GB"/>
        </w:rPr>
      </w:pPr>
      <w:r w:rsidRPr="00DD64CA">
        <w:rPr>
          <w:rFonts w:ascii="Poppins" w:hAnsi="Poppins" w:cs="Poppins"/>
          <w:color w:val="124F1A" w:themeColor="accent3" w:themeShade="BF"/>
          <w:sz w:val="36"/>
          <w:szCs w:val="36"/>
          <w:lang w:val="en-GB"/>
        </w:rPr>
        <w:t>Partecipazione e inclusione sociale</w:t>
      </w:r>
      <w:bookmarkEnd w:id="0"/>
    </w:p>
    <w:p w14:paraId="7AA5D280" w14:textId="77777777" w:rsidR="00DD64CA" w:rsidRPr="00DD64CA" w:rsidRDefault="00DD64CA" w:rsidP="00DD64CA">
      <w:pPr>
        <w:rPr>
          <w:lang w:val="en-GB" w:eastAsia="en-US"/>
        </w:rPr>
      </w:pPr>
    </w:p>
    <w:p w14:paraId="312E1590" w14:textId="77777777" w:rsidR="00DD64CA" w:rsidRPr="008B346E" w:rsidRDefault="00DD64CA" w:rsidP="00DD64CA">
      <w:pPr>
        <w:jc w:val="both"/>
        <w:rPr>
          <w:rFonts w:ascii="Poppins" w:hAnsi="Poppins" w:cs="Poppins"/>
          <w:sz w:val="20"/>
          <w:szCs w:val="20"/>
          <w:lang w:val="en-GB"/>
        </w:rPr>
      </w:pPr>
      <w:r w:rsidRPr="008B346E">
        <w:rPr>
          <w:rFonts w:ascii="Poppins" w:hAnsi="Poppins" w:cs="Poppins"/>
          <w:sz w:val="20"/>
          <w:szCs w:val="20"/>
          <w:lang w:val="en-GB"/>
        </w:rPr>
        <w:t>Nell'ambito della silver economy, la partecipazione e l'inclusione sociale degli anziani rivestono un duplice significato. Da un lato, sono fondamentali per il benessere personale e l'invecchiamento attivo; dall'altro, evidenziano il prezioso contributo che gli anziani apportano alla società attraverso l'assistenza, il volontariato e l'impegno civico e politico. In particolare, l'indagine "Aspetti della vita quotidiana" dell'ISTAT esplora queste dimensioni, esaminando il coinvolgimento degli anziani come caregiver informali di familiari e altre persone vicine, nonché la loro partecipazione ad attività di volontariato sia formali che informali. I risultati evidenziano che, quando le condizioni di salute lo consentono, gli anziani contribuiscono attivamente, costituendo un pilastro del modello di welfare italiano (ISTAT, 2020).</w:t>
      </w:r>
    </w:p>
    <w:p w14:paraId="4FFE0DF4" w14:textId="77777777" w:rsidR="00DD64CA" w:rsidRPr="008B346E" w:rsidRDefault="00DD64CA" w:rsidP="00DD64CA">
      <w:pPr>
        <w:pStyle w:val="Didascalia"/>
        <w:rPr>
          <w:rFonts w:ascii="Poppins" w:hAnsi="Poppins" w:cs="Poppins"/>
          <w:szCs w:val="20"/>
          <w:lang w:val="en-GB"/>
        </w:rPr>
      </w:pPr>
      <w:r w:rsidRPr="008B346E">
        <w:rPr>
          <w:rFonts w:ascii="Poppins" w:hAnsi="Poppins" w:cs="Poppins"/>
          <w:szCs w:val="20"/>
          <w:lang w:val="en-GB"/>
        </w:rPr>
        <w:t xml:space="preserve">Tabella </w:t>
      </w:r>
      <w:r w:rsidRPr="008B346E">
        <w:rPr>
          <w:rFonts w:ascii="Poppins" w:hAnsi="Poppins" w:cs="Poppins"/>
          <w:noProof/>
          <w:szCs w:val="20"/>
          <w:lang w:val="en-GB"/>
        </w:rPr>
        <w:t xml:space="preserve">12. </w:t>
      </w:r>
      <w:r w:rsidRPr="008B346E">
        <w:rPr>
          <w:rFonts w:ascii="Poppins" w:hAnsi="Poppins" w:cs="Poppins"/>
          <w:szCs w:val="20"/>
          <w:lang w:val="en-GB"/>
        </w:rPr>
        <w:t>Indicatori di partecipazione e inclusione sociale.</w:t>
      </w:r>
    </w:p>
    <w:tbl>
      <w:tblPr>
        <w:tblStyle w:val="Grigliatabella"/>
        <w:tblW w:w="0" w:type="auto"/>
        <w:tblInd w:w="0" w:type="dxa"/>
        <w:tblLook w:val="04A0" w:firstRow="1" w:lastRow="0" w:firstColumn="1" w:lastColumn="0" w:noHBand="0" w:noVBand="1"/>
      </w:tblPr>
      <w:tblGrid>
        <w:gridCol w:w="2957"/>
        <w:gridCol w:w="6671"/>
      </w:tblGrid>
      <w:tr w:rsidR="00DD64CA" w:rsidRPr="008B346E" w14:paraId="7E59FC1D" w14:textId="77777777" w:rsidTr="00B74592">
        <w:tc>
          <w:tcPr>
            <w:tcW w:w="0" w:type="auto"/>
            <w:tcMar>
              <w:left w:w="28" w:type="dxa"/>
              <w:right w:w="28" w:type="dxa"/>
            </w:tcMar>
          </w:tcPr>
          <w:p w14:paraId="606A1EE8" w14:textId="77777777" w:rsidR="00DD64CA" w:rsidRPr="008B346E" w:rsidRDefault="00DD64CA" w:rsidP="00B74592">
            <w:pPr>
              <w:jc w:val="both"/>
              <w:rPr>
                <w:rFonts w:ascii="Poppins" w:hAnsi="Poppins" w:cs="Poppins"/>
                <w:b/>
                <w:bCs/>
                <w:lang w:val="en-GB"/>
              </w:rPr>
            </w:pPr>
            <w:r w:rsidRPr="008B346E">
              <w:rPr>
                <w:rFonts w:ascii="Poppins" w:hAnsi="Poppins" w:cs="Poppins"/>
                <w:b/>
                <w:bCs/>
                <w:lang w:val="en-GB"/>
              </w:rPr>
              <w:t>Indicatore o classe di indicatori</w:t>
            </w:r>
          </w:p>
        </w:tc>
        <w:tc>
          <w:tcPr>
            <w:tcW w:w="0" w:type="auto"/>
            <w:tcMar>
              <w:left w:w="28" w:type="dxa"/>
              <w:right w:w="28" w:type="dxa"/>
            </w:tcMar>
          </w:tcPr>
          <w:p w14:paraId="62309F3E" w14:textId="77777777" w:rsidR="00DD64CA" w:rsidRPr="008B346E" w:rsidRDefault="00DD64CA" w:rsidP="00B74592">
            <w:pPr>
              <w:jc w:val="both"/>
              <w:rPr>
                <w:rFonts w:ascii="Poppins" w:hAnsi="Poppins" w:cs="Poppins"/>
                <w:b/>
                <w:bCs/>
                <w:lang w:val="en-GB"/>
              </w:rPr>
            </w:pPr>
            <w:r w:rsidRPr="008B346E">
              <w:rPr>
                <w:rFonts w:ascii="Poppins" w:hAnsi="Poppins" w:cs="Poppins"/>
                <w:b/>
                <w:bCs/>
                <w:lang w:val="en-GB"/>
              </w:rPr>
              <w:t>Descrizione e fonte</w:t>
            </w:r>
          </w:p>
        </w:tc>
      </w:tr>
      <w:tr w:rsidR="00DD64CA" w:rsidRPr="008B346E" w14:paraId="2BCE71AF" w14:textId="77777777" w:rsidTr="00B74592">
        <w:tc>
          <w:tcPr>
            <w:tcW w:w="0" w:type="auto"/>
            <w:gridSpan w:val="2"/>
            <w:tcMar>
              <w:left w:w="28" w:type="dxa"/>
              <w:right w:w="28" w:type="dxa"/>
            </w:tcMar>
          </w:tcPr>
          <w:p w14:paraId="5D29E8A2" w14:textId="77777777" w:rsidR="00DD64CA" w:rsidRPr="008B346E" w:rsidRDefault="00DD64CA" w:rsidP="00B74592">
            <w:pPr>
              <w:jc w:val="both"/>
              <w:rPr>
                <w:rFonts w:ascii="Poppins" w:hAnsi="Poppins" w:cs="Poppins"/>
                <w:b/>
                <w:bCs/>
                <w:lang w:val="en-GB"/>
              </w:rPr>
            </w:pPr>
            <w:r w:rsidRPr="008B346E">
              <w:rPr>
                <w:rFonts w:ascii="Poppins" w:hAnsi="Poppins" w:cs="Poppins"/>
                <w:b/>
                <w:bCs/>
                <w:lang w:val="en-GB"/>
              </w:rPr>
              <w:t xml:space="preserve">Dimensione: </w:t>
            </w:r>
            <w:r w:rsidRPr="008B346E">
              <w:rPr>
                <w:rFonts w:ascii="Poppins" w:hAnsi="Poppins" w:cs="Poppins"/>
                <w:b/>
                <w:bCs/>
                <w:i/>
                <w:iCs/>
                <w:lang w:val="en-GB"/>
              </w:rPr>
              <w:t>Connessione sociale</w:t>
            </w:r>
          </w:p>
        </w:tc>
      </w:tr>
      <w:tr w:rsidR="00DD64CA" w:rsidRPr="008B346E" w14:paraId="14A82764" w14:textId="77777777" w:rsidTr="00B74592">
        <w:tc>
          <w:tcPr>
            <w:tcW w:w="0" w:type="auto"/>
            <w:tcMar>
              <w:left w:w="28" w:type="dxa"/>
              <w:right w:w="28" w:type="dxa"/>
            </w:tcMar>
          </w:tcPr>
          <w:p w14:paraId="29EC1075"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Ritrovarsi con parenti e amici</w:t>
            </w:r>
          </w:p>
        </w:tc>
        <w:tc>
          <w:tcPr>
            <w:tcW w:w="0" w:type="auto"/>
            <w:tcMar>
              <w:left w:w="28" w:type="dxa"/>
              <w:right w:w="28" w:type="dxa"/>
            </w:tcMar>
          </w:tcPr>
          <w:p w14:paraId="60400FB9" w14:textId="77777777" w:rsidR="00DD64CA" w:rsidRPr="008B346E" w:rsidRDefault="00DD64CA" w:rsidP="00B74592">
            <w:pPr>
              <w:jc w:val="both"/>
              <w:rPr>
                <w:rFonts w:ascii="Poppins" w:hAnsi="Poppins" w:cs="Poppins"/>
                <w:lang w:val="en-GB"/>
              </w:rPr>
            </w:pPr>
            <w:r w:rsidRPr="008B346E">
              <w:rPr>
                <w:rFonts w:ascii="Poppins" w:hAnsi="Poppins" w:cs="Poppins"/>
                <w:lang w:val="en-GB"/>
              </w:rPr>
              <w:t>Frequenza con cui gli intervistati (più anziani) si riuniscono solitamente con familiari o amici durante un anno normale. Devono essere considerati solo i parenti o gli amici che non vivono nella stessa famiglia dell'intervistato. Fonte: EU-SILC.</w:t>
            </w:r>
          </w:p>
        </w:tc>
      </w:tr>
      <w:tr w:rsidR="00DD64CA" w:rsidRPr="008B346E" w14:paraId="49BA2411" w14:textId="77777777" w:rsidTr="00B74592">
        <w:tc>
          <w:tcPr>
            <w:tcW w:w="0" w:type="auto"/>
            <w:tcMar>
              <w:left w:w="28" w:type="dxa"/>
              <w:right w:w="28" w:type="dxa"/>
            </w:tcMar>
          </w:tcPr>
          <w:p w14:paraId="11FBF27C"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Contatto con amici o familiari</w:t>
            </w:r>
          </w:p>
        </w:tc>
        <w:tc>
          <w:tcPr>
            <w:tcW w:w="0" w:type="auto"/>
            <w:tcMar>
              <w:left w:w="28" w:type="dxa"/>
              <w:right w:w="28" w:type="dxa"/>
            </w:tcMar>
          </w:tcPr>
          <w:p w14:paraId="099239A5" w14:textId="77777777" w:rsidR="00DD64CA" w:rsidRPr="008B346E" w:rsidRDefault="00DD64CA" w:rsidP="00B74592">
            <w:pPr>
              <w:jc w:val="both"/>
              <w:rPr>
                <w:rFonts w:ascii="Poppins" w:hAnsi="Poppins" w:cs="Poppins"/>
                <w:lang w:val="en-GB"/>
              </w:rPr>
            </w:pPr>
            <w:r w:rsidRPr="008B346E">
              <w:rPr>
                <w:rFonts w:ascii="Poppins" w:hAnsi="Poppins" w:cs="Poppins"/>
                <w:lang w:val="en-GB"/>
              </w:rPr>
              <w:t>Frequenza con cui l'intervistato è solitamente in contatto con familiari o amici durante un anno normale. I contatti possono avvenire tramite telefono, SMS, lettera, fax, Internet. Devono essere considerati solo i parenti o gli amici che non vivono nella stessa famiglia dell'intervistato. Fonte: EU-SILC.</w:t>
            </w:r>
          </w:p>
        </w:tc>
      </w:tr>
      <w:tr w:rsidR="00DD64CA" w:rsidRPr="008B346E" w14:paraId="5C736426" w14:textId="77777777" w:rsidTr="00B74592">
        <w:tc>
          <w:tcPr>
            <w:tcW w:w="0" w:type="auto"/>
            <w:tcMar>
              <w:left w:w="28" w:type="dxa"/>
              <w:right w:w="28" w:type="dxa"/>
            </w:tcMar>
          </w:tcPr>
          <w:p w14:paraId="050671B4"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Comunicazione tramite social media</w:t>
            </w:r>
          </w:p>
        </w:tc>
        <w:tc>
          <w:tcPr>
            <w:tcW w:w="0" w:type="auto"/>
            <w:tcMar>
              <w:left w:w="28" w:type="dxa"/>
              <w:right w:w="28" w:type="dxa"/>
            </w:tcMar>
          </w:tcPr>
          <w:p w14:paraId="6344AB7A" w14:textId="77777777" w:rsidR="00DD64CA" w:rsidRPr="008B346E" w:rsidRDefault="00DD64CA" w:rsidP="00B74592">
            <w:pPr>
              <w:jc w:val="both"/>
              <w:rPr>
                <w:rFonts w:ascii="Poppins" w:hAnsi="Poppins" w:cs="Poppins"/>
                <w:lang w:val="en-GB"/>
              </w:rPr>
            </w:pPr>
            <w:r w:rsidRPr="008B346E">
              <w:rPr>
                <w:rFonts w:ascii="Poppins" w:hAnsi="Poppins" w:cs="Poppins"/>
                <w:lang w:val="en-GB"/>
              </w:rPr>
              <w:t>Frequenza con cui l'intervistato partecipa attivamente ai siti di social network, come siti web basati sulla comunità, forum di discussione online, chat room e altri spazi sociali online. Partecipare attivamente significa non solo iscriversi ai social network, ma anche contribuire attivamente alla discussione. Fonte: EU-SILC.</w:t>
            </w:r>
          </w:p>
        </w:tc>
      </w:tr>
      <w:tr w:rsidR="00DD64CA" w:rsidRPr="008B346E" w14:paraId="5456D818" w14:textId="77777777" w:rsidTr="00B74592">
        <w:tc>
          <w:tcPr>
            <w:tcW w:w="0" w:type="auto"/>
            <w:tcMar>
              <w:left w:w="28" w:type="dxa"/>
              <w:right w:w="28" w:type="dxa"/>
            </w:tcMar>
          </w:tcPr>
          <w:p w14:paraId="51D5F72C"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Capacità di chiedere aiuto</w:t>
            </w:r>
          </w:p>
        </w:tc>
        <w:tc>
          <w:tcPr>
            <w:tcW w:w="0" w:type="auto"/>
            <w:tcMar>
              <w:left w:w="28" w:type="dxa"/>
              <w:right w:w="28" w:type="dxa"/>
            </w:tcMar>
          </w:tcPr>
          <w:p w14:paraId="18782602" w14:textId="77777777" w:rsidR="00DD64CA" w:rsidRPr="008B346E" w:rsidRDefault="00DD64CA" w:rsidP="00B74592">
            <w:pPr>
              <w:jc w:val="both"/>
              <w:rPr>
                <w:rFonts w:ascii="Poppins" w:hAnsi="Poppins" w:cs="Poppins"/>
                <w:lang w:val="en-GB"/>
              </w:rPr>
            </w:pPr>
            <w:r w:rsidRPr="008B346E">
              <w:rPr>
                <w:rFonts w:ascii="Poppins" w:hAnsi="Poppins" w:cs="Poppins"/>
                <w:lang w:val="en-GB"/>
              </w:rPr>
              <w:t xml:space="preserve">La possibilità per l'intervistato di chiedere qualsiasi tipo di aiuto: morale, materiale o finanziario a parenti, amici o vicini. Sia i termini parenti che amici devono essere intesi nel loro significato più ampio. La domanda riguarda la possibilità per </w:t>
            </w:r>
            <w:r w:rsidRPr="008B346E">
              <w:rPr>
                <w:rFonts w:ascii="Poppins" w:hAnsi="Poppins" w:cs="Poppins"/>
                <w:lang w:val="en-GB"/>
              </w:rPr>
              <w:lastRenderedPageBreak/>
              <w:t>l'intervistato di chiedere aiuto, indipendentemente dal fatto che ne abbia bisogno o meno. Fonte: EU-SILC.</w:t>
            </w:r>
          </w:p>
        </w:tc>
      </w:tr>
      <w:tr w:rsidR="00DD64CA" w:rsidRPr="008B346E" w14:paraId="652D3D61" w14:textId="77777777" w:rsidTr="00B74592">
        <w:tc>
          <w:tcPr>
            <w:tcW w:w="0" w:type="auto"/>
            <w:tcMar>
              <w:left w:w="28" w:type="dxa"/>
              <w:right w:w="28" w:type="dxa"/>
            </w:tcMar>
          </w:tcPr>
          <w:p w14:paraId="22ACE17E"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lastRenderedPageBreak/>
              <w:t>Discutere questioni personali</w:t>
            </w:r>
          </w:p>
        </w:tc>
        <w:tc>
          <w:tcPr>
            <w:tcW w:w="0" w:type="auto"/>
            <w:tcMar>
              <w:left w:w="28" w:type="dxa"/>
              <w:right w:w="28" w:type="dxa"/>
            </w:tcMar>
          </w:tcPr>
          <w:p w14:paraId="5D537145" w14:textId="77777777" w:rsidR="00DD64CA" w:rsidRPr="008B346E" w:rsidRDefault="00DD64CA" w:rsidP="00B74592">
            <w:pPr>
              <w:jc w:val="both"/>
              <w:rPr>
                <w:rFonts w:ascii="Poppins" w:hAnsi="Poppins" w:cs="Poppins"/>
                <w:lang w:val="en-GB"/>
              </w:rPr>
            </w:pPr>
            <w:r w:rsidRPr="008B346E">
              <w:rPr>
                <w:rFonts w:ascii="Poppins" w:hAnsi="Poppins" w:cs="Poppins"/>
                <w:lang w:val="en-GB"/>
              </w:rPr>
              <w:t>La presenza di almeno una persona con cui il rispondente possa discutere di questioni personali. Si tratta di avere qualcuno con cui discutere di questioni personali, indipendentemente dal fatto che il rispondente ne abbia bisogno o meno. Può trattarsi di chiunque, compresi i membri della famiglia e non necessariamente di familiari o amici. Fonte: EU-SILC.</w:t>
            </w:r>
          </w:p>
        </w:tc>
      </w:tr>
      <w:tr w:rsidR="00DD64CA" w:rsidRPr="008B346E" w14:paraId="778E7FB5" w14:textId="77777777" w:rsidTr="00B74592">
        <w:tc>
          <w:tcPr>
            <w:tcW w:w="0" w:type="auto"/>
            <w:tcMar>
              <w:left w:w="28" w:type="dxa"/>
              <w:right w:w="28" w:type="dxa"/>
            </w:tcMar>
          </w:tcPr>
          <w:p w14:paraId="13989FDD"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Isolamento sociale</w:t>
            </w:r>
          </w:p>
        </w:tc>
        <w:tc>
          <w:tcPr>
            <w:tcW w:w="0" w:type="auto"/>
            <w:tcMar>
              <w:left w:w="28" w:type="dxa"/>
              <w:right w:w="28" w:type="dxa"/>
            </w:tcMar>
          </w:tcPr>
          <w:p w14:paraId="61398ACB" w14:textId="77777777" w:rsidR="00DD64CA" w:rsidRPr="008B346E" w:rsidRDefault="00DD64CA" w:rsidP="00B74592">
            <w:pPr>
              <w:jc w:val="both"/>
              <w:rPr>
                <w:rFonts w:ascii="Poppins" w:hAnsi="Poppins" w:cs="Poppins"/>
                <w:lang w:val="en-GB"/>
              </w:rPr>
            </w:pPr>
            <w:r w:rsidRPr="008B346E">
              <w:rPr>
                <w:rFonts w:ascii="Poppins" w:hAnsi="Poppins" w:cs="Poppins"/>
                <w:lang w:val="en-GB"/>
              </w:rPr>
              <w:t>Intervistati di età pari o superiore a 65 anni che dichiarano di non aver parlato al telefono o di persona con nessuno e di non aver partecipato ad attività con altri, come in un centro per anziani, in un club, in una parrocchia o a riunioni di partiti o associazioni politiche. Fonte: INIH-SS.</w:t>
            </w:r>
          </w:p>
        </w:tc>
      </w:tr>
      <w:tr w:rsidR="00DD64CA" w:rsidRPr="008B346E" w14:paraId="7B8152D1" w14:textId="77777777" w:rsidTr="00B74592">
        <w:tc>
          <w:tcPr>
            <w:tcW w:w="0" w:type="auto"/>
            <w:tcMar>
              <w:left w:w="28" w:type="dxa"/>
              <w:right w:w="28" w:type="dxa"/>
            </w:tcMar>
          </w:tcPr>
          <w:p w14:paraId="30C64D86"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Supporto sociale</w:t>
            </w:r>
          </w:p>
        </w:tc>
        <w:tc>
          <w:tcPr>
            <w:tcW w:w="0" w:type="auto"/>
            <w:tcMar>
              <w:left w:w="28" w:type="dxa"/>
              <w:right w:w="28" w:type="dxa"/>
            </w:tcMar>
          </w:tcPr>
          <w:p w14:paraId="4298D071" w14:textId="77777777" w:rsidR="00DD64CA" w:rsidRPr="008B346E" w:rsidRDefault="00DD64CA" w:rsidP="00B74592">
            <w:pPr>
              <w:jc w:val="both"/>
              <w:rPr>
                <w:rFonts w:ascii="Poppins" w:hAnsi="Poppins" w:cs="Poppins"/>
                <w:lang w:val="en-GB"/>
              </w:rPr>
            </w:pPr>
            <w:r w:rsidRPr="008B346E">
              <w:rPr>
                <w:rFonts w:ascii="Poppins" w:hAnsi="Poppins" w:cs="Poppins"/>
                <w:lang w:val="en-GB"/>
              </w:rPr>
              <w:t xml:space="preserve">Percezione individuale del supporto sociale su una scala che va da debole a forte. È costruita utilizzando tre variabili: 1) Numero di persone vicine su cui contare in caso di gravi problemi personali. 2) Grado di preoccupazione mostrato da altre persone per ciò che la persona sta facendo. 3) Quanto è facile ottenere aiuto pratico dai vicini in caso di bisogno. Riferimento: </w:t>
            </w:r>
            <w:r w:rsidRPr="008B346E">
              <w:rPr>
                <w:rFonts w:ascii="Poppins" w:hAnsi="Poppins" w:cs="Poppins"/>
                <w:color w:val="000000"/>
                <w:lang w:val="en-GB"/>
              </w:rPr>
              <w:t>( Kocalevent et al., 2018). Fonte: EHIS.</w:t>
            </w:r>
          </w:p>
        </w:tc>
      </w:tr>
      <w:tr w:rsidR="00DD64CA" w:rsidRPr="008B346E" w14:paraId="2ED82AD2" w14:textId="77777777" w:rsidTr="00B74592">
        <w:tc>
          <w:tcPr>
            <w:tcW w:w="0" w:type="auto"/>
            <w:gridSpan w:val="2"/>
            <w:tcMar>
              <w:left w:w="28" w:type="dxa"/>
              <w:right w:w="28" w:type="dxa"/>
            </w:tcMar>
          </w:tcPr>
          <w:p w14:paraId="2B531EFA" w14:textId="77777777" w:rsidR="00DD64CA" w:rsidRPr="008B346E" w:rsidRDefault="00DD64CA" w:rsidP="00B74592">
            <w:pPr>
              <w:jc w:val="both"/>
              <w:rPr>
                <w:rFonts w:ascii="Poppins" w:hAnsi="Poppins" w:cs="Poppins"/>
                <w:lang w:val="en-GB"/>
              </w:rPr>
            </w:pPr>
            <w:r w:rsidRPr="008B346E">
              <w:rPr>
                <w:rFonts w:ascii="Poppins" w:hAnsi="Poppins" w:cs="Poppins"/>
                <w:b/>
                <w:bCs/>
                <w:lang w:val="en-GB"/>
              </w:rPr>
              <w:t xml:space="preserve">Dimensione: </w:t>
            </w:r>
            <w:r w:rsidRPr="008B346E">
              <w:rPr>
                <w:rFonts w:ascii="Poppins" w:hAnsi="Poppins" w:cs="Poppins"/>
                <w:b/>
                <w:bCs/>
                <w:i/>
                <w:iCs/>
                <w:lang w:val="en-GB"/>
              </w:rPr>
              <w:t>Attività di assistenza e volontariato</w:t>
            </w:r>
          </w:p>
        </w:tc>
      </w:tr>
      <w:tr w:rsidR="00DD64CA" w:rsidRPr="008B346E" w14:paraId="1B4BD4DE" w14:textId="77777777" w:rsidTr="00B74592">
        <w:tc>
          <w:tcPr>
            <w:tcW w:w="0" w:type="auto"/>
            <w:tcMar>
              <w:left w:w="28" w:type="dxa"/>
              <w:right w:w="28" w:type="dxa"/>
            </w:tcMar>
          </w:tcPr>
          <w:p w14:paraId="35EF9780"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Persone che forniscono servizi informali di assistenza domiciliare</w:t>
            </w:r>
          </w:p>
        </w:tc>
        <w:tc>
          <w:tcPr>
            <w:tcW w:w="0" w:type="auto"/>
            <w:tcMar>
              <w:left w:w="28" w:type="dxa"/>
              <w:right w:w="28" w:type="dxa"/>
            </w:tcMar>
          </w:tcPr>
          <w:p w14:paraId="4393E1D7" w14:textId="77777777" w:rsidR="00DD64CA" w:rsidRPr="008B346E" w:rsidRDefault="00DD64CA" w:rsidP="00B74592">
            <w:pPr>
              <w:jc w:val="both"/>
              <w:rPr>
                <w:rFonts w:ascii="Poppins" w:hAnsi="Poppins" w:cs="Poppins"/>
                <w:lang w:val="en-GB"/>
              </w:rPr>
            </w:pPr>
            <w:r w:rsidRPr="008B346E">
              <w:rPr>
                <w:rFonts w:ascii="Poppins" w:hAnsi="Poppins" w:cs="Poppins"/>
                <w:lang w:val="en-GB"/>
              </w:rPr>
              <w:t>Percentuale di anziani che hanno assunto il ruolo di caregiver informale nelle quattro settimane precedenti l'intervista, fornendo assistenza non retribuita a qualcuno all'interno dello stesso nucleo familiare e/o in un nucleo familiare diverso. I dati includono il numero di casi di supporto forniti, il tempo trascorso in ore e il destinatario principale delle attività di assistenza (bambini, altri anziani, persone con disabilità, ecc.) e il tipo di assistenza offerta (sostegno economico, servizi sanitari, faccende domestiche, ecc.). Fonte: Istat -FSS, Istat-TUse , EU-SILC; EHIS.</w:t>
            </w:r>
          </w:p>
        </w:tc>
      </w:tr>
      <w:tr w:rsidR="00DD64CA" w:rsidRPr="008B346E" w14:paraId="06581659" w14:textId="77777777" w:rsidTr="00B74592">
        <w:tc>
          <w:tcPr>
            <w:tcW w:w="0" w:type="auto"/>
            <w:tcMar>
              <w:left w:w="28" w:type="dxa"/>
              <w:right w:w="28" w:type="dxa"/>
            </w:tcMar>
          </w:tcPr>
          <w:p w14:paraId="4732015E"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Volontariato formale</w:t>
            </w:r>
          </w:p>
        </w:tc>
        <w:tc>
          <w:tcPr>
            <w:tcW w:w="0" w:type="auto"/>
            <w:tcMar>
              <w:left w:w="28" w:type="dxa"/>
              <w:right w:w="28" w:type="dxa"/>
            </w:tcMar>
          </w:tcPr>
          <w:p w14:paraId="646B603E" w14:textId="77777777" w:rsidR="00DD64CA" w:rsidRPr="008B346E" w:rsidRDefault="00DD64CA" w:rsidP="00B74592">
            <w:pPr>
              <w:jc w:val="both"/>
              <w:rPr>
                <w:rFonts w:ascii="Poppins" w:hAnsi="Poppins" w:cs="Poppins"/>
                <w:color w:val="000000"/>
                <w:lang w:val="en-GB"/>
              </w:rPr>
            </w:pPr>
            <w:r w:rsidRPr="008B346E">
              <w:rPr>
                <w:rFonts w:ascii="Poppins" w:hAnsi="Poppins" w:cs="Poppins"/>
                <w:color w:val="000000"/>
                <w:lang w:val="en-GB"/>
              </w:rPr>
              <w:t xml:space="preserve">Partecipazione di persone (anziane) ad attività di volontariato organizzate tramite un'organizzazione, un gruppo formale o un club, incluso il lavoro non retribuito per organizzazioni caritatevoli o religiose. I risultati sono classificati in base al settore primario di attività </w:t>
            </w:r>
            <w:r w:rsidRPr="008B346E">
              <w:rPr>
                <w:rFonts w:ascii="Poppins" w:hAnsi="Poppins" w:cs="Poppins"/>
                <w:color w:val="000000"/>
                <w:lang w:val="en-GB"/>
              </w:rPr>
              <w:lastRenderedPageBreak/>
              <w:t xml:space="preserve">dell'organizzazione e al tipo di attività svolte, in linea con lo standard CP2001. L'indagine rileva anche le motivazioni soggettive per l'impegno nel volontariato, nonché i motivi di non partecipazione, consentendo un confronto più approfondito basato su variabili quali genere, età e luogo di residenza. </w:t>
            </w:r>
            <w:r w:rsidRPr="008B346E">
              <w:rPr>
                <w:rFonts w:ascii="Poppins" w:hAnsi="Poppins" w:cs="Poppins"/>
                <w:lang w:val="en-GB"/>
              </w:rPr>
              <w:t>Fonte: Istat - ADL; Istat-TUse ; EU-SILC.</w:t>
            </w:r>
          </w:p>
        </w:tc>
      </w:tr>
      <w:tr w:rsidR="00DD64CA" w:rsidRPr="008B346E" w14:paraId="45802A28" w14:textId="77777777" w:rsidTr="00B74592">
        <w:tc>
          <w:tcPr>
            <w:tcW w:w="0" w:type="auto"/>
            <w:tcMar>
              <w:left w:w="28" w:type="dxa"/>
              <w:right w:w="28" w:type="dxa"/>
            </w:tcMar>
          </w:tcPr>
          <w:p w14:paraId="7C5E166A"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lastRenderedPageBreak/>
              <w:t>Importo medio donato annualmente in beneficenza</w:t>
            </w:r>
          </w:p>
        </w:tc>
        <w:tc>
          <w:tcPr>
            <w:tcW w:w="0" w:type="auto"/>
            <w:tcMar>
              <w:left w:w="28" w:type="dxa"/>
              <w:right w:w="28" w:type="dxa"/>
            </w:tcMar>
          </w:tcPr>
          <w:p w14:paraId="408EE8A7" w14:textId="77777777" w:rsidR="00DD64CA" w:rsidRPr="008B346E" w:rsidRDefault="00DD64CA" w:rsidP="00B74592">
            <w:pPr>
              <w:jc w:val="both"/>
              <w:rPr>
                <w:rFonts w:ascii="Poppins" w:hAnsi="Poppins" w:cs="Poppins"/>
                <w:color w:val="000000"/>
                <w:highlight w:val="yellow"/>
                <w:lang w:val="en-GB"/>
              </w:rPr>
            </w:pPr>
            <w:r w:rsidRPr="008B346E">
              <w:rPr>
                <w:rFonts w:ascii="Poppins" w:hAnsi="Poppins" w:cs="Poppins"/>
                <w:color w:val="000000"/>
                <w:lang w:val="en-GB"/>
              </w:rPr>
              <w:t>Stima del valore economico delle donazioni e dei contributi di beneficenza, suddiviso per fascia d'età e finalità della donazione. Include l'utilizzo delle piattaforme di crowdfunding per finalità benefiche e progetti di impatto sociale. Fonte: Doxa-IS; Vita-IGR; MEF-Tax; Istat -ADL.</w:t>
            </w:r>
          </w:p>
        </w:tc>
      </w:tr>
      <w:tr w:rsidR="00DD64CA" w:rsidRPr="008B346E" w14:paraId="15087A9A" w14:textId="77777777" w:rsidTr="00B74592">
        <w:tc>
          <w:tcPr>
            <w:tcW w:w="0" w:type="auto"/>
            <w:tcMar>
              <w:left w:w="28" w:type="dxa"/>
              <w:right w:w="28" w:type="dxa"/>
            </w:tcMar>
          </w:tcPr>
          <w:p w14:paraId="60DE120D"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Donatori di beneficenza</w:t>
            </w:r>
          </w:p>
        </w:tc>
        <w:tc>
          <w:tcPr>
            <w:tcW w:w="0" w:type="auto"/>
            <w:tcMar>
              <w:left w:w="28" w:type="dxa"/>
              <w:right w:w="28" w:type="dxa"/>
            </w:tcMar>
          </w:tcPr>
          <w:p w14:paraId="42676E8A" w14:textId="77777777" w:rsidR="00DD64CA" w:rsidRPr="008B346E" w:rsidRDefault="00DD64CA" w:rsidP="00B74592">
            <w:pPr>
              <w:jc w:val="both"/>
              <w:rPr>
                <w:rFonts w:ascii="Poppins" w:hAnsi="Poppins" w:cs="Poppins"/>
                <w:color w:val="000000"/>
                <w:lang w:val="en-GB"/>
              </w:rPr>
            </w:pPr>
            <w:r w:rsidRPr="008B346E">
              <w:rPr>
                <w:rFonts w:ascii="Poppins" w:hAnsi="Poppins" w:cs="Poppins"/>
                <w:color w:val="000000"/>
                <w:lang w:val="en-GB"/>
              </w:rPr>
              <w:t>Quota di persone (anziane) che hanno effettuato almeno una donazione o un contributo benefico nell'ultimo anno, indipendentemente dall'importo. Le donazioni includono contributi a enti di beneficenza, organizzazioni non profit, enti religiosi o campagne di raccolta fondi. Fonte: MEF-Tax; Istat -ADL.</w:t>
            </w:r>
          </w:p>
        </w:tc>
      </w:tr>
      <w:tr w:rsidR="00DD64CA" w:rsidRPr="008B346E" w14:paraId="15E6AD4D" w14:textId="77777777" w:rsidTr="00B74592">
        <w:tc>
          <w:tcPr>
            <w:tcW w:w="0" w:type="auto"/>
            <w:gridSpan w:val="2"/>
            <w:tcMar>
              <w:left w:w="28" w:type="dxa"/>
              <w:right w:w="28" w:type="dxa"/>
            </w:tcMar>
          </w:tcPr>
          <w:p w14:paraId="015430F4" w14:textId="77777777" w:rsidR="00DD64CA" w:rsidRPr="008B346E" w:rsidRDefault="00DD64CA" w:rsidP="00B74592">
            <w:pPr>
              <w:jc w:val="both"/>
              <w:rPr>
                <w:rFonts w:ascii="Poppins" w:hAnsi="Poppins" w:cs="Poppins"/>
                <w:b/>
                <w:bCs/>
                <w:lang w:val="en-GB"/>
              </w:rPr>
            </w:pPr>
            <w:r w:rsidRPr="008B346E">
              <w:rPr>
                <w:rFonts w:ascii="Poppins" w:hAnsi="Poppins" w:cs="Poppins"/>
                <w:b/>
                <w:bCs/>
                <w:lang w:val="en-GB"/>
              </w:rPr>
              <w:t xml:space="preserve">Dimensione: </w:t>
            </w:r>
            <w:r w:rsidRPr="008B346E">
              <w:rPr>
                <w:rFonts w:ascii="Poppins" w:hAnsi="Poppins" w:cs="Poppins"/>
                <w:b/>
                <w:bCs/>
                <w:i/>
                <w:iCs/>
                <w:lang w:val="en-GB"/>
              </w:rPr>
              <w:t>Cittadinanza attiva e partecipazione politica</w:t>
            </w:r>
          </w:p>
        </w:tc>
      </w:tr>
      <w:tr w:rsidR="00DD64CA" w:rsidRPr="008B346E" w14:paraId="32B8E9D9" w14:textId="77777777" w:rsidTr="00B74592">
        <w:tc>
          <w:tcPr>
            <w:tcW w:w="0" w:type="auto"/>
            <w:tcMar>
              <w:left w:w="28" w:type="dxa"/>
              <w:right w:w="28" w:type="dxa"/>
            </w:tcMar>
          </w:tcPr>
          <w:p w14:paraId="4D932057"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Attività politiche</w:t>
            </w:r>
          </w:p>
        </w:tc>
        <w:tc>
          <w:tcPr>
            <w:tcW w:w="0" w:type="auto"/>
            <w:tcMar>
              <w:left w:w="28" w:type="dxa"/>
              <w:right w:w="28" w:type="dxa"/>
            </w:tcMar>
          </w:tcPr>
          <w:p w14:paraId="204C85E2" w14:textId="77777777" w:rsidR="00DD64CA" w:rsidRPr="008B346E" w:rsidRDefault="00DD64CA" w:rsidP="00B74592">
            <w:pPr>
              <w:jc w:val="both"/>
              <w:rPr>
                <w:rFonts w:ascii="Poppins" w:hAnsi="Poppins" w:cs="Poppins"/>
                <w:lang w:val="en-GB"/>
              </w:rPr>
            </w:pPr>
            <w:r w:rsidRPr="008B346E">
              <w:rPr>
                <w:rFonts w:ascii="Poppins" w:hAnsi="Poppins" w:cs="Poppins"/>
                <w:color w:val="000000"/>
                <w:lang w:val="en-GB"/>
              </w:rPr>
              <w:t xml:space="preserve">Partecipazione delle persone (anziane) </w:t>
            </w:r>
            <w:r w:rsidRPr="008B346E">
              <w:rPr>
                <w:rFonts w:ascii="Poppins" w:hAnsi="Poppins" w:cs="Poppins"/>
                <w:lang w:val="en-GB"/>
              </w:rPr>
              <w:t>ad attività legate a gruppi politici, associazioni o partiti, inclusa la partecipazione a una qualsiasi delle loro riunioni o la firma di una petizione (vedi AAI). Fonte: EU-SILC, EQLS, Istat -ADL.</w:t>
            </w:r>
          </w:p>
        </w:tc>
      </w:tr>
      <w:tr w:rsidR="00DD64CA" w:rsidRPr="008B346E" w14:paraId="34B3AC4F" w14:textId="77777777" w:rsidTr="00B74592">
        <w:tc>
          <w:tcPr>
            <w:tcW w:w="0" w:type="auto"/>
            <w:tcMar>
              <w:left w:w="28" w:type="dxa"/>
              <w:right w:w="28" w:type="dxa"/>
            </w:tcMar>
          </w:tcPr>
          <w:p w14:paraId="7AEFECE4"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tasso di affluenza alle urne</w:t>
            </w:r>
          </w:p>
        </w:tc>
        <w:tc>
          <w:tcPr>
            <w:tcW w:w="0" w:type="auto"/>
            <w:tcMar>
              <w:left w:w="28" w:type="dxa"/>
              <w:right w:w="28" w:type="dxa"/>
            </w:tcMar>
          </w:tcPr>
          <w:p w14:paraId="615FD678" w14:textId="77777777" w:rsidR="00DD64CA" w:rsidRPr="008B346E" w:rsidRDefault="00DD64CA" w:rsidP="00B74592">
            <w:pPr>
              <w:jc w:val="both"/>
              <w:rPr>
                <w:rFonts w:ascii="Poppins" w:hAnsi="Poppins" w:cs="Poppins"/>
                <w:color w:val="000000"/>
                <w:lang w:val="en-GB"/>
              </w:rPr>
            </w:pPr>
            <w:r w:rsidRPr="008B346E">
              <w:rPr>
                <w:rFonts w:ascii="Poppins" w:hAnsi="Poppins" w:cs="Poppins"/>
                <w:color w:val="000000"/>
                <w:lang w:val="en-GB"/>
              </w:rPr>
              <w:t>Percentuale di persone (anziane) che partecipano alle elezioni (ad esempio, elezioni locali, nazionali o europee). Fonte: Ministero dell'Interno.</w:t>
            </w:r>
          </w:p>
        </w:tc>
      </w:tr>
      <w:tr w:rsidR="00DD64CA" w:rsidRPr="008B346E" w14:paraId="2852D82A" w14:textId="77777777" w:rsidTr="00B74592">
        <w:tc>
          <w:tcPr>
            <w:tcW w:w="0" w:type="auto"/>
            <w:tcMar>
              <w:left w:w="28" w:type="dxa"/>
              <w:right w:w="28" w:type="dxa"/>
            </w:tcMar>
          </w:tcPr>
          <w:p w14:paraId="6BE6300F"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Percentuale di anziani in posizioni politiche elette</w:t>
            </w:r>
          </w:p>
        </w:tc>
        <w:tc>
          <w:tcPr>
            <w:tcW w:w="0" w:type="auto"/>
            <w:tcMar>
              <w:left w:w="28" w:type="dxa"/>
              <w:right w:w="28" w:type="dxa"/>
            </w:tcMar>
          </w:tcPr>
          <w:p w14:paraId="78CE95B9" w14:textId="77777777" w:rsidR="00DD64CA" w:rsidRPr="008B346E" w:rsidRDefault="00DD64CA" w:rsidP="00B74592">
            <w:pPr>
              <w:jc w:val="both"/>
              <w:rPr>
                <w:rFonts w:ascii="Poppins" w:hAnsi="Poppins" w:cs="Poppins"/>
                <w:color w:val="000000"/>
                <w:lang w:val="en-GB"/>
              </w:rPr>
            </w:pPr>
            <w:r w:rsidRPr="008B346E">
              <w:rPr>
                <w:rFonts w:ascii="Poppins" w:hAnsi="Poppins" w:cs="Poppins"/>
                <w:color w:val="000000"/>
                <w:lang w:val="en-GB"/>
              </w:rPr>
              <w:t>Percentuale di anziani che ricoprono posizioni politiche elettive (ad esempio, membri del Parlamento, consigli regionali o locali). Fonte: Ministero dell'Interno; siti web degli enti locali.</w:t>
            </w:r>
          </w:p>
        </w:tc>
      </w:tr>
      <w:tr w:rsidR="00DD64CA" w:rsidRPr="008B346E" w14:paraId="564D8B75" w14:textId="77777777" w:rsidTr="00B74592">
        <w:tc>
          <w:tcPr>
            <w:tcW w:w="0" w:type="auto"/>
            <w:tcMar>
              <w:left w:w="28" w:type="dxa"/>
              <w:right w:w="28" w:type="dxa"/>
            </w:tcMar>
          </w:tcPr>
          <w:p w14:paraId="0D3B83C6"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Percentuale di candidati più anziani alle elezioni</w:t>
            </w:r>
          </w:p>
        </w:tc>
        <w:tc>
          <w:tcPr>
            <w:tcW w:w="0" w:type="auto"/>
            <w:tcMar>
              <w:left w:w="28" w:type="dxa"/>
              <w:right w:w="28" w:type="dxa"/>
            </w:tcMar>
          </w:tcPr>
          <w:p w14:paraId="3F3B0577" w14:textId="77777777" w:rsidR="00DD64CA" w:rsidRPr="008B346E" w:rsidRDefault="00DD64CA" w:rsidP="00B74592">
            <w:pPr>
              <w:jc w:val="both"/>
              <w:rPr>
                <w:rFonts w:ascii="Poppins" w:hAnsi="Poppins" w:cs="Poppins"/>
                <w:color w:val="000000"/>
                <w:lang w:val="en-GB"/>
              </w:rPr>
            </w:pPr>
            <w:r w:rsidRPr="008B346E">
              <w:rPr>
                <w:rFonts w:ascii="Poppins" w:hAnsi="Poppins" w:cs="Poppins"/>
                <w:color w:val="000000"/>
                <w:lang w:val="en-GB"/>
              </w:rPr>
              <w:t>Percentuale di candidati anziani che si presentano alle elezioni politiche. Fonte: Ministero dell'Interno.</w:t>
            </w:r>
          </w:p>
        </w:tc>
      </w:tr>
      <w:tr w:rsidR="00DD64CA" w:rsidRPr="008B346E" w14:paraId="6DE46AD8" w14:textId="77777777" w:rsidTr="00B74592">
        <w:tc>
          <w:tcPr>
            <w:tcW w:w="0" w:type="auto"/>
            <w:tcMar>
              <w:left w:w="28" w:type="dxa"/>
              <w:right w:w="28" w:type="dxa"/>
            </w:tcMar>
          </w:tcPr>
          <w:p w14:paraId="77EBF08D"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Percentuale di anziani eletti negli organi di governo locale</w:t>
            </w:r>
          </w:p>
        </w:tc>
        <w:tc>
          <w:tcPr>
            <w:tcW w:w="0" w:type="auto"/>
            <w:tcMar>
              <w:left w:w="28" w:type="dxa"/>
              <w:right w:w="28" w:type="dxa"/>
            </w:tcMar>
          </w:tcPr>
          <w:p w14:paraId="31784463" w14:textId="77777777" w:rsidR="00DD64CA" w:rsidRPr="008B346E" w:rsidRDefault="00DD64CA" w:rsidP="00B74592">
            <w:pPr>
              <w:jc w:val="both"/>
              <w:rPr>
                <w:rFonts w:ascii="Poppins" w:hAnsi="Poppins" w:cs="Poppins"/>
                <w:color w:val="000000"/>
                <w:lang w:val="en-GB"/>
              </w:rPr>
            </w:pPr>
            <w:r w:rsidRPr="008B346E">
              <w:rPr>
                <w:rFonts w:ascii="Poppins" w:hAnsi="Poppins" w:cs="Poppins"/>
                <w:color w:val="000000"/>
                <w:lang w:val="en-GB"/>
              </w:rPr>
              <w:t>Percentuale di anziani eletti nei consigli di quartiere , nei consigli comunali o negli organi di gestione delle aziende sanitarie locali (ASL). Fonte: dati amministrativi locali.</w:t>
            </w:r>
          </w:p>
        </w:tc>
      </w:tr>
      <w:tr w:rsidR="00DD64CA" w:rsidRPr="008B346E" w14:paraId="3662E157" w14:textId="77777777" w:rsidTr="00B74592">
        <w:tc>
          <w:tcPr>
            <w:tcW w:w="0" w:type="auto"/>
            <w:gridSpan w:val="2"/>
            <w:tcMar>
              <w:left w:w="28" w:type="dxa"/>
              <w:right w:w="28" w:type="dxa"/>
            </w:tcMar>
          </w:tcPr>
          <w:p w14:paraId="6EE3DB59" w14:textId="77777777" w:rsidR="00DD64CA" w:rsidRPr="008B346E" w:rsidRDefault="00DD64CA" w:rsidP="00B74592">
            <w:pPr>
              <w:jc w:val="both"/>
              <w:rPr>
                <w:rFonts w:ascii="Poppins" w:hAnsi="Poppins" w:cs="Poppins"/>
                <w:lang w:val="en-GB"/>
              </w:rPr>
            </w:pPr>
            <w:r w:rsidRPr="008B346E">
              <w:rPr>
                <w:rFonts w:ascii="Poppins" w:hAnsi="Poppins" w:cs="Poppins"/>
                <w:b/>
                <w:bCs/>
                <w:lang w:val="en-GB"/>
              </w:rPr>
              <w:t xml:space="preserve">Dimensione: </w:t>
            </w:r>
            <w:r w:rsidRPr="008B346E">
              <w:rPr>
                <w:rFonts w:ascii="Poppins" w:hAnsi="Poppins" w:cs="Poppins"/>
                <w:b/>
                <w:bCs/>
                <w:i/>
                <w:iCs/>
                <w:lang w:val="en-GB"/>
              </w:rPr>
              <w:t>Partecipazione ad attività culturali e ricreative</w:t>
            </w:r>
          </w:p>
        </w:tc>
      </w:tr>
      <w:tr w:rsidR="00DD64CA" w:rsidRPr="008B346E" w14:paraId="7AEE9DCF" w14:textId="77777777" w:rsidTr="00B74592">
        <w:tc>
          <w:tcPr>
            <w:tcW w:w="0" w:type="auto"/>
            <w:tcMar>
              <w:left w:w="28" w:type="dxa"/>
              <w:right w:w="28" w:type="dxa"/>
            </w:tcMar>
          </w:tcPr>
          <w:p w14:paraId="0A6B91C3"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lastRenderedPageBreak/>
              <w:t>Anziani che partecipano ad attività sportive o culturali</w:t>
            </w:r>
          </w:p>
        </w:tc>
        <w:tc>
          <w:tcPr>
            <w:tcW w:w="0" w:type="auto"/>
            <w:tcMar>
              <w:left w:w="28" w:type="dxa"/>
              <w:right w:w="28" w:type="dxa"/>
            </w:tcMar>
          </w:tcPr>
          <w:p w14:paraId="5BC3A06F" w14:textId="77777777" w:rsidR="00DD64CA" w:rsidRPr="008B346E" w:rsidRDefault="00DD64CA" w:rsidP="00B74592">
            <w:pPr>
              <w:jc w:val="both"/>
              <w:rPr>
                <w:rFonts w:ascii="Poppins" w:hAnsi="Poppins" w:cs="Poppins"/>
                <w:lang w:val="en-GB"/>
              </w:rPr>
            </w:pPr>
            <w:r w:rsidRPr="008B346E">
              <w:rPr>
                <w:rFonts w:ascii="Poppins" w:hAnsi="Poppins" w:cs="Poppins"/>
                <w:lang w:val="en-GB"/>
              </w:rPr>
              <w:t>La frequenza della partecipazione degli anziani ad attività culturali, tra cui cinema, teatro e concerti musicali; eventi sportivi; visite a musei, siti archeologici e monumenti; frequentazione di locali notturni o sale da ballo; lettura di giornali e libri. L' indagine esplora anche le ragioni della mancata partecipazione, come difficoltà di accesso a luoghi culturali, vincoli economici, mancanza di interesse o altre barriere. (vedi AAI). Fonte: Istat - ADL; Istat-TUse ; EU-SILC.</w:t>
            </w:r>
          </w:p>
        </w:tc>
      </w:tr>
      <w:tr w:rsidR="00DD64CA" w:rsidRPr="008B346E" w14:paraId="1E03FCE2" w14:textId="77777777" w:rsidTr="00B74592">
        <w:tc>
          <w:tcPr>
            <w:tcW w:w="0" w:type="auto"/>
            <w:tcMar>
              <w:left w:w="28" w:type="dxa"/>
              <w:right w:w="28" w:type="dxa"/>
            </w:tcMar>
          </w:tcPr>
          <w:p w14:paraId="2F290616"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Anziani che svolgono attività artistiche</w:t>
            </w:r>
          </w:p>
        </w:tc>
        <w:tc>
          <w:tcPr>
            <w:tcW w:w="0" w:type="auto"/>
            <w:tcMar>
              <w:left w:w="28" w:type="dxa"/>
              <w:right w:w="28" w:type="dxa"/>
            </w:tcMar>
          </w:tcPr>
          <w:p w14:paraId="53DB4572" w14:textId="77777777" w:rsidR="00DD64CA" w:rsidRPr="008B346E" w:rsidRDefault="00DD64CA" w:rsidP="00B74592">
            <w:pPr>
              <w:jc w:val="both"/>
              <w:rPr>
                <w:rFonts w:ascii="Poppins" w:hAnsi="Poppins" w:cs="Poppins"/>
                <w:lang w:val="en-GB"/>
              </w:rPr>
            </w:pPr>
            <w:r w:rsidRPr="008B346E">
              <w:rPr>
                <w:rFonts w:ascii="Poppins" w:hAnsi="Poppins" w:cs="Poppins"/>
                <w:lang w:val="en-GB"/>
              </w:rPr>
              <w:t>Percentuale di popolazione (anziana) che ha svolto attività artistiche negli ultimi 12 mesi. Le attività artistiche includono suonare uno strumento, comporre musica, cantare, ballare, recitare, fotografare, realizzare video, disegnare, dipingere, intagliare o dedicarsi ad altre arti visive/artigianali, scrivere poesie, racconti, narrativa e così via. Devono essere incluse solo le attività svolte come hobby. Fonte: EU-SILC.</w:t>
            </w:r>
          </w:p>
        </w:tc>
      </w:tr>
      <w:tr w:rsidR="00DD64CA" w:rsidRPr="008B346E" w14:paraId="399CEBBF" w14:textId="77777777" w:rsidTr="00B74592">
        <w:tc>
          <w:tcPr>
            <w:tcW w:w="0" w:type="auto"/>
            <w:tcMar>
              <w:left w:w="28" w:type="dxa"/>
              <w:right w:w="28" w:type="dxa"/>
            </w:tcMar>
          </w:tcPr>
          <w:p w14:paraId="1A09351C"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Lavoratori senior dell'intrattenimento</w:t>
            </w:r>
          </w:p>
        </w:tc>
        <w:tc>
          <w:tcPr>
            <w:tcW w:w="0" w:type="auto"/>
            <w:tcMar>
              <w:left w:w="28" w:type="dxa"/>
              <w:right w:w="28" w:type="dxa"/>
            </w:tcMar>
          </w:tcPr>
          <w:p w14:paraId="6E471FD4" w14:textId="77777777" w:rsidR="00DD64CA" w:rsidRPr="008B346E" w:rsidRDefault="00DD64CA" w:rsidP="00B74592">
            <w:pPr>
              <w:jc w:val="both"/>
              <w:rPr>
                <w:rFonts w:ascii="Poppins" w:hAnsi="Poppins" w:cs="Poppins"/>
                <w:lang w:val="en-GB"/>
              </w:rPr>
            </w:pPr>
            <w:r w:rsidRPr="008B346E">
              <w:rPr>
                <w:rFonts w:ascii="Poppins" w:hAnsi="Poppins" w:cs="Poppins"/>
                <w:lang w:val="en-GB"/>
              </w:rPr>
              <w:t>Quota di lavoratori dello spettacolo per fascia d'età e classe di reddito. Fonte: INPS-EWPA.</w:t>
            </w:r>
          </w:p>
        </w:tc>
      </w:tr>
      <w:tr w:rsidR="00DD64CA" w:rsidRPr="008B346E" w14:paraId="13D18189" w14:textId="77777777" w:rsidTr="00B74592">
        <w:tc>
          <w:tcPr>
            <w:tcW w:w="0" w:type="auto"/>
            <w:tcMar>
              <w:left w:w="28" w:type="dxa"/>
              <w:right w:w="28" w:type="dxa"/>
            </w:tcMar>
          </w:tcPr>
          <w:p w14:paraId="540CCF3C"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Atleti professionisti senior</w:t>
            </w:r>
          </w:p>
        </w:tc>
        <w:tc>
          <w:tcPr>
            <w:tcW w:w="0" w:type="auto"/>
            <w:tcMar>
              <w:left w:w="28" w:type="dxa"/>
              <w:right w:w="28" w:type="dxa"/>
            </w:tcMar>
          </w:tcPr>
          <w:p w14:paraId="0A770A44" w14:textId="77777777" w:rsidR="00DD64CA" w:rsidRPr="008B346E" w:rsidRDefault="00DD64CA" w:rsidP="00B74592">
            <w:pPr>
              <w:jc w:val="both"/>
              <w:rPr>
                <w:rFonts w:ascii="Poppins" w:hAnsi="Poppins" w:cs="Poppins"/>
                <w:lang w:val="en-GB"/>
              </w:rPr>
            </w:pPr>
            <w:r w:rsidRPr="008B346E">
              <w:rPr>
                <w:rFonts w:ascii="Poppins" w:hAnsi="Poppins" w:cs="Poppins"/>
                <w:lang w:val="en-GB"/>
              </w:rPr>
              <w:t>Quota di atleti professionisti per fascia d'età e classe di reddito. Fonte: INPS-EWPA.</w:t>
            </w:r>
          </w:p>
        </w:tc>
      </w:tr>
      <w:tr w:rsidR="00DD64CA" w:rsidRPr="008B346E" w14:paraId="5D875DED" w14:textId="77777777" w:rsidTr="00B74592">
        <w:tc>
          <w:tcPr>
            <w:tcW w:w="0" w:type="auto"/>
            <w:tcMar>
              <w:left w:w="28" w:type="dxa"/>
              <w:right w:w="28" w:type="dxa"/>
            </w:tcMar>
          </w:tcPr>
          <w:p w14:paraId="67632C66"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Partecipazione al turismo</w:t>
            </w:r>
          </w:p>
        </w:tc>
        <w:tc>
          <w:tcPr>
            <w:tcW w:w="0" w:type="auto"/>
            <w:tcMar>
              <w:left w:w="28" w:type="dxa"/>
              <w:right w:w="28" w:type="dxa"/>
            </w:tcMar>
          </w:tcPr>
          <w:p w14:paraId="62AB37C5" w14:textId="77777777" w:rsidR="00DD64CA" w:rsidRPr="008B346E" w:rsidRDefault="00DD64CA" w:rsidP="00B74592">
            <w:pPr>
              <w:jc w:val="both"/>
              <w:rPr>
                <w:rFonts w:ascii="Poppins" w:hAnsi="Poppins" w:cs="Poppins"/>
                <w:lang w:val="en-GB"/>
              </w:rPr>
            </w:pPr>
            <w:r w:rsidRPr="008B346E">
              <w:rPr>
                <w:rFonts w:ascii="Poppins" w:hAnsi="Poppins" w:cs="Poppins"/>
                <w:lang w:val="en-GB"/>
              </w:rPr>
              <w:t>Percentuale di popolazione (anziana) che ha effettuato almeno un viaggio personale con pernottamento. Suddivisione per durata del viaggio, destinazione (nazionale, in uscita o entrambe) e caratteristiche socio-demografiche. Fonte: EU-Tour.</w:t>
            </w:r>
          </w:p>
        </w:tc>
      </w:tr>
      <w:tr w:rsidR="00DD64CA" w:rsidRPr="008B346E" w14:paraId="672DF929" w14:textId="77777777" w:rsidTr="00B74592">
        <w:tc>
          <w:tcPr>
            <w:tcW w:w="0" w:type="auto"/>
            <w:tcMar>
              <w:left w:w="28" w:type="dxa"/>
              <w:right w:w="28" w:type="dxa"/>
            </w:tcMar>
          </w:tcPr>
          <w:p w14:paraId="2D2B3360" w14:textId="77777777" w:rsidR="00DD64CA" w:rsidRPr="008B346E" w:rsidRDefault="00DD64CA" w:rsidP="00B74592">
            <w:pPr>
              <w:jc w:val="both"/>
              <w:rPr>
                <w:rFonts w:ascii="Poppins" w:hAnsi="Poppins" w:cs="Poppins"/>
                <w:i/>
                <w:iCs/>
                <w:lang w:val="en-GB"/>
              </w:rPr>
            </w:pPr>
            <w:r w:rsidRPr="008B346E">
              <w:rPr>
                <w:rFonts w:ascii="Poppins" w:hAnsi="Poppins" w:cs="Poppins"/>
                <w:i/>
                <w:iCs/>
                <w:lang w:val="en-GB"/>
              </w:rPr>
              <w:t>Motivi della non partecipazione al turismo</w:t>
            </w:r>
          </w:p>
        </w:tc>
        <w:tc>
          <w:tcPr>
            <w:tcW w:w="0" w:type="auto"/>
            <w:tcMar>
              <w:left w:w="28" w:type="dxa"/>
              <w:right w:w="28" w:type="dxa"/>
            </w:tcMar>
          </w:tcPr>
          <w:p w14:paraId="6D5EC164" w14:textId="77777777" w:rsidR="00DD64CA" w:rsidRPr="008B346E" w:rsidRDefault="00DD64CA" w:rsidP="00B74592">
            <w:pPr>
              <w:jc w:val="both"/>
              <w:rPr>
                <w:rFonts w:ascii="Poppins" w:hAnsi="Poppins" w:cs="Poppins"/>
                <w:lang w:val="en-GB"/>
              </w:rPr>
            </w:pPr>
            <w:r w:rsidRPr="008B346E">
              <w:rPr>
                <w:rFonts w:ascii="Poppins" w:hAnsi="Poppins" w:cs="Poppins"/>
                <w:lang w:val="en-GB"/>
              </w:rPr>
              <w:t>Percentuale della popolazione anziana che segnala i motivi per cui non partecipa al turismo, disaggregata per fattori quali vincoli finanziari, mancanza di interesse, problemi di salute, limiti di tempo dovuti a impegni di lavoro o di studio, obblighi familiari, problemi di sicurezza o altri motivi. Fonte: EU-Tour.</w:t>
            </w:r>
          </w:p>
        </w:tc>
      </w:tr>
    </w:tbl>
    <w:p w14:paraId="1AE480E3" w14:textId="77777777" w:rsidR="00207AB3" w:rsidRPr="007657C5" w:rsidRDefault="00207AB3" w:rsidP="007657C5">
      <w:pPr>
        <w:pStyle w:val="Titolo2"/>
        <w:jc w:val="center"/>
        <w:rPr>
          <w:rFonts w:ascii="Poppins" w:hAnsi="Poppins" w:cs="Poppins"/>
          <w:color w:val="124F1A" w:themeColor="accent3" w:themeShade="BF"/>
          <w:sz w:val="36"/>
          <w:szCs w:val="36"/>
          <w:lang w:val="en-GB"/>
        </w:rPr>
      </w:pPr>
    </w:p>
    <w:sectPr w:rsidR="00207AB3" w:rsidRPr="007657C5">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2B1B3" w14:textId="77777777" w:rsidR="00151460" w:rsidRDefault="00151460" w:rsidP="0079697F">
      <w:r>
        <w:separator/>
      </w:r>
    </w:p>
  </w:endnote>
  <w:endnote w:type="continuationSeparator" w:id="0">
    <w:p w14:paraId="298FD7FF" w14:textId="77777777" w:rsidR="00151460" w:rsidRDefault="00151460" w:rsidP="00796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0034B" w14:textId="77777777" w:rsidR="00151460" w:rsidRDefault="00151460" w:rsidP="0079697F">
      <w:r>
        <w:separator/>
      </w:r>
    </w:p>
  </w:footnote>
  <w:footnote w:type="continuationSeparator" w:id="0">
    <w:p w14:paraId="4F1A6B0E" w14:textId="77777777" w:rsidR="00151460" w:rsidRDefault="00151460" w:rsidP="00796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615D" w14:textId="6B830D7B" w:rsidR="0079697F" w:rsidRDefault="0079697F">
    <w:pPr>
      <w:pStyle w:val="Intestazione"/>
    </w:pPr>
    <w:r>
      <w:rPr>
        <w:noProof/>
      </w:rPr>
      <w:drawing>
        <wp:anchor distT="0" distB="0" distL="114300" distR="114300" simplePos="0" relativeHeight="251659264" behindDoc="0" locked="0" layoutInCell="1" hidden="0" allowOverlap="1" wp14:anchorId="1DA90A4B" wp14:editId="6CEC7A85">
          <wp:simplePos x="0" y="0"/>
          <wp:positionH relativeFrom="page">
            <wp:posOffset>15755</wp:posOffset>
          </wp:positionH>
          <wp:positionV relativeFrom="paragraph">
            <wp:posOffset>-433121</wp:posOffset>
          </wp:positionV>
          <wp:extent cx="7561580" cy="885825"/>
          <wp:effectExtent l="0" t="0" r="1270" b="9525"/>
          <wp:wrapNone/>
          <wp:docPr id="1455172115" name="image1.png" descr="Immagine che contiene testo, schermata, Elementi grafici,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455172115" name="image1.png" descr="Immagine che contiene testo, schermata, Elementi grafici, logo&#10;&#10;Il contenuto generato dall'IA potrebbe non essere corretto."/>
                  <pic:cNvPicPr preferRelativeResize="0"/>
                </pic:nvPicPr>
                <pic:blipFill>
                  <a:blip r:embed="rId1"/>
                  <a:srcRect/>
                  <a:stretch>
                    <a:fillRect/>
                  </a:stretch>
                </pic:blipFill>
                <pic:spPr>
                  <a:xfrm>
                    <a:off x="0" y="0"/>
                    <a:ext cx="7561580" cy="88582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036CB4A"/>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20906CDF"/>
    <w:multiLevelType w:val="hybridMultilevel"/>
    <w:tmpl w:val="2C203A5E"/>
    <w:lvl w:ilvl="0" w:tplc="A47C9752">
      <w:start w:val="1"/>
      <w:numFmt w:val="bullet"/>
      <w:lvlText w:val=""/>
      <w:lvlJc w:val="left"/>
      <w:pPr>
        <w:tabs>
          <w:tab w:val="num" w:pos="432"/>
        </w:tabs>
        <w:ind w:left="432" w:hanging="432"/>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D12C33"/>
    <w:multiLevelType w:val="hybridMultilevel"/>
    <w:tmpl w:val="C3CE2BF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A0810F7"/>
    <w:multiLevelType w:val="multilevel"/>
    <w:tmpl w:val="03647D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772E68BD"/>
    <w:multiLevelType w:val="multilevel"/>
    <w:tmpl w:val="D63EA9C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num w:numId="1" w16cid:durableId="186449925">
    <w:abstractNumId w:val="4"/>
  </w:num>
  <w:num w:numId="2" w16cid:durableId="1784156693">
    <w:abstractNumId w:val="3"/>
  </w:num>
  <w:num w:numId="3" w16cid:durableId="728652233">
    <w:abstractNumId w:val="0"/>
  </w:num>
  <w:num w:numId="4" w16cid:durableId="830750631">
    <w:abstractNumId w:val="1"/>
  </w:num>
  <w:num w:numId="5" w16cid:durableId="848101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7F"/>
    <w:rsid w:val="00036AF9"/>
    <w:rsid w:val="000B13C7"/>
    <w:rsid w:val="00151460"/>
    <w:rsid w:val="001B3BE3"/>
    <w:rsid w:val="001F2272"/>
    <w:rsid w:val="00207AB3"/>
    <w:rsid w:val="002F6176"/>
    <w:rsid w:val="0040179F"/>
    <w:rsid w:val="004C207B"/>
    <w:rsid w:val="004F0188"/>
    <w:rsid w:val="005D01DF"/>
    <w:rsid w:val="00640CE0"/>
    <w:rsid w:val="007271A8"/>
    <w:rsid w:val="007657C5"/>
    <w:rsid w:val="00775CAA"/>
    <w:rsid w:val="007869FB"/>
    <w:rsid w:val="0079697F"/>
    <w:rsid w:val="00806D9D"/>
    <w:rsid w:val="00854359"/>
    <w:rsid w:val="008D1363"/>
    <w:rsid w:val="009770E2"/>
    <w:rsid w:val="009E1892"/>
    <w:rsid w:val="009E731E"/>
    <w:rsid w:val="00A0407F"/>
    <w:rsid w:val="00A42980"/>
    <w:rsid w:val="00A65CF0"/>
    <w:rsid w:val="00B63973"/>
    <w:rsid w:val="00B72DDC"/>
    <w:rsid w:val="00C72F59"/>
    <w:rsid w:val="00C875F3"/>
    <w:rsid w:val="00CC5476"/>
    <w:rsid w:val="00CF3DA8"/>
    <w:rsid w:val="00D42E8F"/>
    <w:rsid w:val="00D57771"/>
    <w:rsid w:val="00DA4184"/>
    <w:rsid w:val="00DA45F1"/>
    <w:rsid w:val="00DB3E72"/>
    <w:rsid w:val="00DD64CA"/>
    <w:rsid w:val="00EB31EA"/>
    <w:rsid w:val="00F12A1B"/>
    <w:rsid w:val="00F35BB5"/>
    <w:rsid w:val="00F6771C"/>
    <w:rsid w:val="00F72983"/>
    <w:rsid w:val="00FC0CFC"/>
    <w:rsid w:val="00FF6F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505FA91"/>
  <w15:chartTrackingRefBased/>
  <w15:docId w15:val="{FFF77312-46C4-D045-A2FD-4916CAB2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B3E72"/>
    <w:pPr>
      <w:spacing w:after="160" w:line="259" w:lineRule="auto"/>
    </w:pPr>
    <w:rPr>
      <w:rFonts w:ascii="Calibri" w:eastAsia="Calibri" w:hAnsi="Calibri" w:cs="Calibri"/>
      <w:kern w:val="0"/>
      <w:sz w:val="22"/>
      <w:szCs w:val="22"/>
      <w:lang w:val="it" w:eastAsia="it-IT"/>
      <w14:ligatures w14:val="none"/>
    </w:rPr>
  </w:style>
  <w:style w:type="paragraph" w:styleId="Titolo1">
    <w:name w:val="heading 1"/>
    <w:basedOn w:val="Normale"/>
    <w:next w:val="Normale"/>
    <w:link w:val="Titolo1Carattere"/>
    <w:uiPriority w:val="9"/>
    <w:qFormat/>
    <w:rsid w:val="0079697F"/>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unhideWhenUsed/>
    <w:qFormat/>
    <w:rsid w:val="0079697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79697F"/>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7969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969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9697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9697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9697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9697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969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969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969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969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969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969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969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969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969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9697F"/>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7969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9697F"/>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7969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9697F"/>
    <w:pPr>
      <w:spacing w:before="160" w:line="240"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79697F"/>
    <w:rPr>
      <w:i/>
      <w:iCs/>
      <w:color w:val="404040" w:themeColor="text1" w:themeTint="BF"/>
    </w:rPr>
  </w:style>
  <w:style w:type="paragraph" w:styleId="Paragrafoelenco">
    <w:name w:val="List Paragraph"/>
    <w:basedOn w:val="Normale"/>
    <w:uiPriority w:val="34"/>
    <w:qFormat/>
    <w:rsid w:val="0079697F"/>
    <w:pPr>
      <w:spacing w:after="0" w:line="240"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79697F"/>
    <w:rPr>
      <w:i/>
      <w:iCs/>
      <w:color w:val="0F4761" w:themeColor="accent1" w:themeShade="BF"/>
    </w:rPr>
  </w:style>
  <w:style w:type="paragraph" w:styleId="Citazioneintensa">
    <w:name w:val="Intense Quote"/>
    <w:basedOn w:val="Normale"/>
    <w:next w:val="Normale"/>
    <w:link w:val="CitazioneintensaCarattere"/>
    <w:uiPriority w:val="30"/>
    <w:qFormat/>
    <w:rsid w:val="0079697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79697F"/>
    <w:rPr>
      <w:i/>
      <w:iCs/>
      <w:color w:val="0F4761" w:themeColor="accent1" w:themeShade="BF"/>
    </w:rPr>
  </w:style>
  <w:style w:type="character" w:styleId="Riferimentointenso">
    <w:name w:val="Intense Reference"/>
    <w:basedOn w:val="Carpredefinitoparagrafo"/>
    <w:uiPriority w:val="32"/>
    <w:qFormat/>
    <w:rsid w:val="0079697F"/>
    <w:rPr>
      <w:b/>
      <w:bCs/>
      <w:smallCaps/>
      <w:color w:val="0F4761" w:themeColor="accent1" w:themeShade="BF"/>
      <w:spacing w:val="5"/>
    </w:rPr>
  </w:style>
  <w:style w:type="paragraph" w:styleId="Intestazione">
    <w:name w:val="header"/>
    <w:basedOn w:val="Normale"/>
    <w:link w:val="Intestazione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IntestazioneCarattere">
    <w:name w:val="Intestazione Carattere"/>
    <w:basedOn w:val="Carpredefinitoparagrafo"/>
    <w:link w:val="Intestazione"/>
    <w:uiPriority w:val="99"/>
    <w:rsid w:val="0079697F"/>
  </w:style>
  <w:style w:type="paragraph" w:styleId="Pidipagina">
    <w:name w:val="footer"/>
    <w:basedOn w:val="Normale"/>
    <w:link w:val="PidipaginaCarattere"/>
    <w:uiPriority w:val="99"/>
    <w:unhideWhenUsed/>
    <w:rsid w:val="0079697F"/>
    <w:pPr>
      <w:tabs>
        <w:tab w:val="center" w:pos="4819"/>
        <w:tab w:val="right" w:pos="9638"/>
      </w:tabs>
    </w:pPr>
  </w:style>
  <w:style w:type="character" w:customStyle="1" w:styleId="PidipaginaCarattere">
    <w:name w:val="Piè di pagina Carattere"/>
    <w:basedOn w:val="Carpredefinitoparagrafo"/>
    <w:link w:val="Pidipagina"/>
    <w:uiPriority w:val="99"/>
    <w:rsid w:val="0079697F"/>
  </w:style>
  <w:style w:type="paragraph" w:styleId="Testonotaapidipagina">
    <w:name w:val="footnote text"/>
    <w:basedOn w:val="Normale"/>
    <w:link w:val="TestonotaapidipaginaCarattere"/>
    <w:uiPriority w:val="99"/>
    <w:unhideWhenUsed/>
    <w:rsid w:val="00F6771C"/>
    <w:pPr>
      <w:spacing w:after="0" w:line="240" w:lineRule="auto"/>
      <w:jc w:val="both"/>
    </w:pPr>
    <w:rPr>
      <w:rFonts w:ascii="Times New Roman" w:eastAsiaTheme="minorHAnsi" w:hAnsi="Times New Roman" w:cstheme="minorBidi"/>
      <w:sz w:val="18"/>
      <w:szCs w:val="20"/>
      <w:lang w:eastAsia="ja-JP"/>
    </w:rPr>
  </w:style>
  <w:style w:type="character" w:customStyle="1" w:styleId="TestonotaapidipaginaCarattere">
    <w:name w:val="Testo nota a piè di pagina Carattere"/>
    <w:basedOn w:val="Carpredefinitoparagrafo"/>
    <w:link w:val="Testonotaapidipagina"/>
    <w:uiPriority w:val="99"/>
    <w:rsid w:val="00F6771C"/>
    <w:rPr>
      <w:rFonts w:ascii="Times New Roman" w:hAnsi="Times New Roman"/>
      <w:kern w:val="0"/>
      <w:sz w:val="18"/>
      <w:szCs w:val="20"/>
      <w:lang w:val="it" w:eastAsia="ja-JP"/>
      <w14:ligatures w14:val="none"/>
    </w:rPr>
  </w:style>
  <w:style w:type="character" w:styleId="Rimandonotaapidipagina">
    <w:name w:val="footnote reference"/>
    <w:basedOn w:val="Carpredefinitoparagrafo"/>
    <w:uiPriority w:val="99"/>
    <w:semiHidden/>
    <w:unhideWhenUsed/>
    <w:rsid w:val="00F6771C"/>
    <w:rPr>
      <w:vertAlign w:val="superscript"/>
    </w:rPr>
  </w:style>
  <w:style w:type="table" w:styleId="Grigliatabella">
    <w:name w:val="Table Grid"/>
    <w:basedOn w:val="Tabellanormale"/>
    <w:uiPriority w:val="39"/>
    <w:rsid w:val="000B13C7"/>
    <w:rPr>
      <w:rFonts w:ascii="Calibri" w:eastAsia="Times New Roman" w:hAnsi="Calibri" w:cs="Times New Roman"/>
      <w:kern w:val="0"/>
      <w:sz w:val="20"/>
      <w:szCs w:val="20"/>
      <w:lang w:val="it"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Puntoelenco">
    <w:name w:val="List Bullet"/>
    <w:basedOn w:val="Normale"/>
    <w:uiPriority w:val="9"/>
    <w:qFormat/>
    <w:rsid w:val="000B13C7"/>
    <w:pPr>
      <w:numPr>
        <w:numId w:val="3"/>
      </w:numPr>
      <w:tabs>
        <w:tab w:val="clear" w:pos="360"/>
        <w:tab w:val="num" w:pos="432"/>
      </w:tabs>
      <w:spacing w:before="120" w:after="120" w:line="240" w:lineRule="auto"/>
      <w:ind w:left="0" w:firstLine="0"/>
      <w:contextualSpacing/>
      <w:jc w:val="both"/>
    </w:pPr>
    <w:rPr>
      <w:rFonts w:ascii="Times New Roman" w:eastAsiaTheme="minorHAnsi" w:hAnsi="Times New Roman" w:cstheme="minorBidi"/>
      <w:szCs w:val="30"/>
      <w:lang w:eastAsia="ja-JP"/>
    </w:rPr>
  </w:style>
  <w:style w:type="paragraph" w:styleId="Didascalia">
    <w:name w:val="caption"/>
    <w:basedOn w:val="Normale"/>
    <w:next w:val="Normale"/>
    <w:uiPriority w:val="35"/>
    <w:unhideWhenUsed/>
    <w:qFormat/>
    <w:rsid w:val="000B13C7"/>
    <w:pPr>
      <w:keepNext/>
      <w:spacing w:before="240" w:after="0" w:line="240" w:lineRule="auto"/>
      <w:jc w:val="both"/>
    </w:pPr>
    <w:rPr>
      <w:rFonts w:ascii="Times New Roman" w:eastAsiaTheme="minorHAnsi" w:hAnsi="Times New Roman" w:cstheme="minorBidi"/>
      <w:i/>
      <w:iCs/>
      <w:sz w:val="20"/>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1290</Words>
  <Characters>7357</Characters>
  <Application>Microsoft Office Word</Application>
  <DocSecurity>0</DocSecurity>
  <Lines>61</Lines>
  <Paragraphs>17</Paragraphs>
  <ScaleCrop>false</ScaleCrop>
  <Company/>
  <LinksUpToDate>false</LinksUpToDate>
  <CharactersWithSpaces>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corradodecristofaro0@gmail.com</dc:creator>
  <cp:keywords/>
  <dc:description/>
  <cp:lastModifiedBy>corradodecristofaro0@gmail.com</cp:lastModifiedBy>
  <cp:revision>15</cp:revision>
  <dcterms:created xsi:type="dcterms:W3CDTF">2025-09-29T20:31:00Z</dcterms:created>
  <dcterms:modified xsi:type="dcterms:W3CDTF">2025-09-30T07:35:00Z</dcterms:modified>
</cp:coreProperties>
</file>