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952C8" w14:textId="77777777" w:rsidR="00B63973" w:rsidRDefault="00B63973" w:rsidP="00B63973">
      <w:pPr>
        <w:tabs>
          <w:tab w:val="num" w:pos="360"/>
        </w:tabs>
      </w:pPr>
      <w:bookmarkStart w:id="0" w:name="_Toc187013357"/>
      <w:bookmarkStart w:id="1" w:name="_Toc188269384"/>
      <w:bookmarkStart w:id="2" w:name="_Toc188282645"/>
      <w:bookmarkStart w:id="3" w:name="_Toc188282640"/>
      <w:bookmarkStart w:id="4" w:name="_Toc188282639"/>
    </w:p>
    <w:p w14:paraId="3472BBBF" w14:textId="77777777" w:rsidR="00DA45F1" w:rsidRPr="00DA45F1" w:rsidRDefault="00DA45F1" w:rsidP="00DA45F1">
      <w:pPr>
        <w:pStyle w:val="Titolo2"/>
        <w:jc w:val="center"/>
        <w:rPr>
          <w:rFonts w:ascii="Poppins" w:hAnsi="Poppins" w:cs="Poppins"/>
          <w:color w:val="124F1A" w:themeColor="accent3" w:themeShade="BF"/>
          <w:sz w:val="36"/>
          <w:szCs w:val="36"/>
          <w:lang w:val="en-GB"/>
        </w:rPr>
      </w:pPr>
      <w:bookmarkStart w:id="5" w:name="_Toc188282648"/>
      <w:bookmarkEnd w:id="0"/>
      <w:bookmarkEnd w:id="1"/>
      <w:bookmarkEnd w:id="2"/>
      <w:bookmarkEnd w:id="3"/>
      <w:bookmarkEnd w:id="4"/>
      <w:r w:rsidRPr="00DA45F1">
        <w:rPr>
          <w:rFonts w:ascii="Poppins" w:hAnsi="Poppins" w:cs="Poppins"/>
          <w:color w:val="124F1A" w:themeColor="accent3" w:themeShade="BF"/>
          <w:sz w:val="36"/>
          <w:szCs w:val="36"/>
          <w:lang w:val="en-GB"/>
        </w:rPr>
        <w:t>Alloggi e condizioni di vita</w:t>
      </w:r>
      <w:bookmarkEnd w:id="5"/>
    </w:p>
    <w:p w14:paraId="30996B4D" w14:textId="77777777" w:rsidR="00DA45F1" w:rsidRPr="008B346E" w:rsidRDefault="00DA45F1" w:rsidP="00DA45F1">
      <w:pPr>
        <w:pStyle w:val="Didascalia"/>
        <w:rPr>
          <w:rFonts w:ascii="Poppins" w:hAnsi="Poppins" w:cs="Poppins"/>
          <w:i w:val="0"/>
          <w:iCs w:val="0"/>
          <w:szCs w:val="20"/>
          <w:lang w:val="en-GB" w:eastAsia="it-IT"/>
        </w:rPr>
      </w:pPr>
      <w:r w:rsidRPr="008B346E">
        <w:rPr>
          <w:rFonts w:ascii="Poppins" w:hAnsi="Poppins" w:cs="Poppins"/>
          <w:i w:val="0"/>
          <w:iCs w:val="0"/>
          <w:szCs w:val="20"/>
          <w:lang w:val="en-GB" w:eastAsia="it-IT"/>
        </w:rPr>
        <w:t>La raccolta di dati sulle condizioni di vita e sul contesto sociale della popolazione anziana è essenziale per lo sviluppo della silver economy, poiché questi fattori influenzano direttamente l'autonomia, il benessere e la qualità della vita degli anziani. Le caratteristiche abitative, le reti sociali e il contesto territoriale, sia urbano che rurale, interagiscono in modo complesso, generando bisogni specifici e plasmando la domanda di beni e servizi. Ad esempio, vivere in una città con infrastrutture efficienti o in un'area rurale isolata crea esigenze diverse in termini di mobilità, accesso ai servizi sanitari e opportunità di socializzazione. Analizzare questi aspetti aiuta a comprendere l'evoluzione delle soluzioni offerte dalla silver economy, come dispositivi di assistenza, interventi per migliorare l'accessibilità abitativa, trasporti dedicati, servizi di telemedicina e assistenza domiciliare. Allo stesso tempo, il contesto abitativo e sociale influenza profondamente la capacità degli anziani di partecipare alla vita comunitaria, contribuendo non solo al loro benessere personale, ma anche al rafforzamento del loro ruolo nella società. Promuovere un invecchiamento attivo e dignitoso richiede quindi politiche e strategie basate su un'analisi integrata di questi dati.</w:t>
      </w:r>
    </w:p>
    <w:p w14:paraId="08B62572" w14:textId="77777777" w:rsidR="00DA45F1" w:rsidRPr="008B346E" w:rsidRDefault="00DA45F1" w:rsidP="00DA45F1">
      <w:pPr>
        <w:pStyle w:val="Didascalia"/>
        <w:rPr>
          <w:rFonts w:ascii="Poppins" w:hAnsi="Poppins" w:cs="Poppins"/>
          <w:i w:val="0"/>
          <w:iCs w:val="0"/>
          <w:szCs w:val="20"/>
          <w:lang w:val="en-GB" w:eastAsia="it-IT"/>
        </w:rPr>
      </w:pPr>
      <w:r w:rsidRPr="008B346E">
        <w:rPr>
          <w:rFonts w:ascii="Poppins" w:hAnsi="Poppins" w:cs="Poppins"/>
          <w:i w:val="0"/>
          <w:iCs w:val="0"/>
          <w:szCs w:val="20"/>
          <w:lang w:val="en-GB" w:eastAsia="it-IT"/>
        </w:rPr>
        <w:t>L'Indice di Invecchiamento Attivo, nel suo tentativo di sintesi, considera un solo indicatore all'interno di questo ambito: "Sistemazioni di Vita Indipendente", che rappresenta la percentuale di persone di età pari o superiore a 75 anni che vivono in nuclei familiari composti da una o due persone. La tabella seguente include ulteriori indicatori che approfondiscono le caratteristiche del nucleo familiare, le specificità dell'abitazione e le condizioni dell'ambiente circostante.</w:t>
      </w:r>
    </w:p>
    <w:p w14:paraId="4EC729EE" w14:textId="77777777" w:rsidR="00DA45F1" w:rsidRPr="008B346E" w:rsidRDefault="00DA45F1" w:rsidP="00DA45F1">
      <w:pPr>
        <w:pStyle w:val="Didascalia"/>
        <w:rPr>
          <w:rFonts w:ascii="Poppins" w:hAnsi="Poppins" w:cs="Poppins"/>
          <w:szCs w:val="20"/>
          <w:lang w:val="en-GB"/>
        </w:rPr>
      </w:pPr>
      <w:r w:rsidRPr="008B346E">
        <w:rPr>
          <w:rFonts w:ascii="Poppins" w:hAnsi="Poppins" w:cs="Poppins"/>
          <w:szCs w:val="20"/>
          <w:lang w:val="en-GB"/>
        </w:rPr>
        <w:t xml:space="preserve">Tabella </w:t>
      </w:r>
      <w:r w:rsidRPr="008B346E">
        <w:rPr>
          <w:rFonts w:ascii="Poppins" w:hAnsi="Poppins" w:cs="Poppins"/>
          <w:noProof/>
          <w:szCs w:val="20"/>
          <w:lang w:val="en-GB"/>
        </w:rPr>
        <w:t xml:space="preserve">11 </w:t>
      </w:r>
      <w:r w:rsidRPr="008B346E">
        <w:rPr>
          <w:rFonts w:ascii="Poppins" w:hAnsi="Poppins" w:cs="Poppins"/>
          <w:szCs w:val="20"/>
          <w:lang w:val="en-GB"/>
        </w:rPr>
        <w:t>- Indicatori delle condizioni di vita e dell'ambiente.</w:t>
      </w:r>
    </w:p>
    <w:tbl>
      <w:tblPr>
        <w:tblStyle w:val="Grigliatabella"/>
        <w:tblW w:w="0" w:type="auto"/>
        <w:tblInd w:w="0" w:type="dxa"/>
        <w:tblLook w:val="04A0" w:firstRow="1" w:lastRow="0" w:firstColumn="1" w:lastColumn="0" w:noHBand="0" w:noVBand="1"/>
      </w:tblPr>
      <w:tblGrid>
        <w:gridCol w:w="3138"/>
        <w:gridCol w:w="6490"/>
      </w:tblGrid>
      <w:tr w:rsidR="00DA45F1" w:rsidRPr="008B346E" w14:paraId="2DB8C1DE" w14:textId="77777777" w:rsidTr="00B74592">
        <w:tc>
          <w:tcPr>
            <w:tcW w:w="0" w:type="auto"/>
            <w:tcMar>
              <w:left w:w="28" w:type="dxa"/>
              <w:right w:w="28" w:type="dxa"/>
            </w:tcMar>
          </w:tcPr>
          <w:p w14:paraId="49A06D0C" w14:textId="77777777" w:rsidR="00DA45F1" w:rsidRPr="008B346E" w:rsidRDefault="00DA45F1" w:rsidP="00B74592">
            <w:pPr>
              <w:jc w:val="both"/>
              <w:rPr>
                <w:rFonts w:ascii="Poppins" w:hAnsi="Poppins" w:cs="Poppins"/>
                <w:b/>
                <w:bCs/>
                <w:lang w:val="en-GB"/>
              </w:rPr>
            </w:pPr>
            <w:r w:rsidRPr="008B346E">
              <w:rPr>
                <w:rFonts w:ascii="Poppins" w:hAnsi="Poppins" w:cs="Poppins"/>
                <w:b/>
                <w:bCs/>
                <w:lang w:val="en-GB"/>
              </w:rPr>
              <w:t>Indicatore o classe di indicatori</w:t>
            </w:r>
          </w:p>
        </w:tc>
        <w:tc>
          <w:tcPr>
            <w:tcW w:w="0" w:type="auto"/>
            <w:tcMar>
              <w:left w:w="28" w:type="dxa"/>
              <w:right w:w="28" w:type="dxa"/>
            </w:tcMar>
          </w:tcPr>
          <w:p w14:paraId="2A843A2E" w14:textId="77777777" w:rsidR="00DA45F1" w:rsidRPr="008B346E" w:rsidRDefault="00DA45F1" w:rsidP="00B74592">
            <w:pPr>
              <w:jc w:val="both"/>
              <w:rPr>
                <w:rFonts w:ascii="Poppins" w:hAnsi="Poppins" w:cs="Poppins"/>
                <w:b/>
                <w:bCs/>
                <w:lang w:val="en-GB"/>
              </w:rPr>
            </w:pPr>
            <w:r w:rsidRPr="008B346E">
              <w:rPr>
                <w:rFonts w:ascii="Poppins" w:hAnsi="Poppins" w:cs="Poppins"/>
                <w:b/>
                <w:bCs/>
                <w:lang w:val="en-GB"/>
              </w:rPr>
              <w:t>Descrizione e fonte</w:t>
            </w:r>
          </w:p>
        </w:tc>
      </w:tr>
      <w:tr w:rsidR="00DA45F1" w:rsidRPr="008B346E" w14:paraId="1A325203" w14:textId="77777777" w:rsidTr="00B74592">
        <w:tc>
          <w:tcPr>
            <w:tcW w:w="0" w:type="auto"/>
            <w:gridSpan w:val="2"/>
            <w:tcMar>
              <w:left w:w="28" w:type="dxa"/>
              <w:right w:w="28" w:type="dxa"/>
            </w:tcMar>
          </w:tcPr>
          <w:p w14:paraId="23F21C3F" w14:textId="77777777" w:rsidR="00DA45F1" w:rsidRPr="008B346E" w:rsidRDefault="00DA45F1" w:rsidP="00B74592">
            <w:pPr>
              <w:jc w:val="both"/>
              <w:rPr>
                <w:rFonts w:ascii="Poppins" w:hAnsi="Poppins" w:cs="Poppins"/>
                <w:b/>
                <w:bCs/>
                <w:lang w:val="en-GB"/>
              </w:rPr>
            </w:pPr>
            <w:r w:rsidRPr="008B346E">
              <w:rPr>
                <w:rFonts w:ascii="Poppins" w:hAnsi="Poppins" w:cs="Poppins"/>
                <w:b/>
                <w:bCs/>
                <w:i/>
                <w:iCs/>
                <w:lang w:val="en-GB"/>
              </w:rPr>
              <w:t>Dominio: famiglie</w:t>
            </w:r>
          </w:p>
        </w:tc>
      </w:tr>
      <w:tr w:rsidR="00DA45F1" w:rsidRPr="008B346E" w14:paraId="092759E2" w14:textId="77777777" w:rsidTr="00B74592">
        <w:tc>
          <w:tcPr>
            <w:tcW w:w="0" w:type="auto"/>
            <w:tcMar>
              <w:left w:w="28" w:type="dxa"/>
              <w:right w:w="28" w:type="dxa"/>
            </w:tcMar>
          </w:tcPr>
          <w:p w14:paraId="17810E9D" w14:textId="77777777" w:rsidR="00DA45F1" w:rsidRPr="008B346E" w:rsidRDefault="00DA45F1" w:rsidP="00B74592">
            <w:pPr>
              <w:jc w:val="both"/>
              <w:rPr>
                <w:rFonts w:ascii="Poppins" w:hAnsi="Poppins" w:cs="Poppins"/>
                <w:lang w:val="en-GB"/>
              </w:rPr>
            </w:pPr>
            <w:r w:rsidRPr="008B346E">
              <w:rPr>
                <w:rFonts w:ascii="Poppins" w:hAnsi="Poppins" w:cs="Poppins"/>
                <w:i/>
                <w:iCs/>
                <w:lang w:val="en-GB"/>
              </w:rPr>
              <w:t>Sistemazioni abitative degli anziani</w:t>
            </w:r>
          </w:p>
        </w:tc>
        <w:tc>
          <w:tcPr>
            <w:tcW w:w="0" w:type="auto"/>
            <w:tcMar>
              <w:left w:w="28" w:type="dxa"/>
              <w:right w:w="28" w:type="dxa"/>
            </w:tcMar>
          </w:tcPr>
          <w:p w14:paraId="4D1A687D" w14:textId="77777777" w:rsidR="00DA45F1" w:rsidRPr="008B346E" w:rsidRDefault="00DA45F1" w:rsidP="00B74592">
            <w:pPr>
              <w:jc w:val="both"/>
              <w:rPr>
                <w:rFonts w:ascii="Poppins" w:hAnsi="Poppins" w:cs="Poppins"/>
                <w:lang w:val="en-GB"/>
              </w:rPr>
            </w:pPr>
            <w:r w:rsidRPr="008B346E">
              <w:rPr>
                <w:rFonts w:ascii="Poppins" w:hAnsi="Poppins" w:cs="Poppins"/>
                <w:lang w:val="en-GB"/>
              </w:rPr>
              <w:t>Percentuale di anziani che vivono in nuclei familiari composti da una sola persona o da una sola coppia o in altri nuclei familiari con uno o più anziani. Fonte: EU-FLS; EU-SILC.</w:t>
            </w:r>
          </w:p>
        </w:tc>
      </w:tr>
      <w:tr w:rsidR="00DA45F1" w:rsidRPr="008B346E" w14:paraId="0C21F4BB" w14:textId="77777777" w:rsidTr="00B74592">
        <w:tc>
          <w:tcPr>
            <w:tcW w:w="0" w:type="auto"/>
            <w:tcMar>
              <w:left w:w="28" w:type="dxa"/>
              <w:right w:w="28" w:type="dxa"/>
            </w:tcMar>
          </w:tcPr>
          <w:p w14:paraId="45AFD7BE" w14:textId="77777777" w:rsidR="00DA45F1" w:rsidRPr="008B346E" w:rsidRDefault="00DA45F1" w:rsidP="00B74592">
            <w:pPr>
              <w:jc w:val="both"/>
              <w:rPr>
                <w:rFonts w:ascii="Poppins" w:hAnsi="Poppins" w:cs="Poppins"/>
                <w:lang w:val="en-GB"/>
              </w:rPr>
            </w:pPr>
            <w:r w:rsidRPr="008B346E">
              <w:rPr>
                <w:rFonts w:ascii="Poppins" w:hAnsi="Poppins" w:cs="Poppins"/>
                <w:i/>
                <w:iCs/>
                <w:lang w:val="en-GB"/>
              </w:rPr>
              <w:t>Quota di anziani come persone di riferimento della famiglia</w:t>
            </w:r>
          </w:p>
        </w:tc>
        <w:tc>
          <w:tcPr>
            <w:tcW w:w="0" w:type="auto"/>
            <w:tcMar>
              <w:left w:w="28" w:type="dxa"/>
              <w:right w:w="28" w:type="dxa"/>
            </w:tcMar>
          </w:tcPr>
          <w:p w14:paraId="05F4670C" w14:textId="77777777" w:rsidR="00DA45F1" w:rsidRPr="008B346E" w:rsidRDefault="00DA45F1" w:rsidP="00B74592">
            <w:pPr>
              <w:jc w:val="both"/>
              <w:rPr>
                <w:rFonts w:ascii="Poppins" w:hAnsi="Poppins" w:cs="Poppins"/>
                <w:lang w:val="en-GB"/>
              </w:rPr>
            </w:pPr>
            <w:r w:rsidRPr="008B346E">
              <w:rPr>
                <w:rFonts w:ascii="Poppins" w:hAnsi="Poppins" w:cs="Poppins"/>
                <w:lang w:val="en-GB"/>
              </w:rPr>
              <w:t>Percentuale di anziani identificati come la persona con il reddito più alto all'interno del nucleo familiare. Fonte: EU-SILC.</w:t>
            </w:r>
          </w:p>
        </w:tc>
      </w:tr>
      <w:tr w:rsidR="00DA45F1" w:rsidRPr="008B346E" w14:paraId="5C095C8B" w14:textId="77777777" w:rsidTr="00B74592">
        <w:tc>
          <w:tcPr>
            <w:tcW w:w="0" w:type="auto"/>
            <w:tcMar>
              <w:left w:w="28" w:type="dxa"/>
              <w:right w:w="28" w:type="dxa"/>
            </w:tcMar>
          </w:tcPr>
          <w:p w14:paraId="0DB65459"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Quota di anziani nelle famiglie collettive</w:t>
            </w:r>
          </w:p>
        </w:tc>
        <w:tc>
          <w:tcPr>
            <w:tcW w:w="0" w:type="auto"/>
            <w:tcMar>
              <w:left w:w="28" w:type="dxa"/>
              <w:right w:w="28" w:type="dxa"/>
            </w:tcMar>
          </w:tcPr>
          <w:p w14:paraId="26CE8677" w14:textId="77777777" w:rsidR="00DA45F1" w:rsidRPr="008B346E" w:rsidRDefault="00DA45F1" w:rsidP="00B74592">
            <w:pPr>
              <w:jc w:val="both"/>
              <w:rPr>
                <w:rFonts w:ascii="Poppins" w:hAnsi="Poppins" w:cs="Poppins"/>
                <w:lang w:val="en-GB"/>
              </w:rPr>
            </w:pPr>
            <w:r w:rsidRPr="008B346E">
              <w:rPr>
                <w:rFonts w:ascii="Poppins" w:hAnsi="Poppins" w:cs="Poppins"/>
                <w:lang w:val="en-GB"/>
              </w:rPr>
              <w:t>Proporzione di anziani nelle famiglie collettive per tipologia (istituzioni di assistenza, istituzioni ecclesiastiche, altre). Fonte: Istat -P&amp;H.</w:t>
            </w:r>
          </w:p>
        </w:tc>
      </w:tr>
      <w:tr w:rsidR="00DA45F1" w:rsidRPr="008B346E" w14:paraId="496604C6" w14:textId="77777777" w:rsidTr="00B74592">
        <w:tc>
          <w:tcPr>
            <w:tcW w:w="0" w:type="auto"/>
            <w:gridSpan w:val="2"/>
            <w:tcMar>
              <w:left w:w="28" w:type="dxa"/>
              <w:right w:w="28" w:type="dxa"/>
            </w:tcMar>
          </w:tcPr>
          <w:p w14:paraId="6E302E1D" w14:textId="77777777" w:rsidR="00DA45F1" w:rsidRPr="008B346E" w:rsidRDefault="00DA45F1" w:rsidP="00B74592">
            <w:pPr>
              <w:jc w:val="both"/>
              <w:rPr>
                <w:rFonts w:ascii="Poppins" w:hAnsi="Poppins" w:cs="Poppins"/>
                <w:lang w:val="en-GB"/>
              </w:rPr>
            </w:pPr>
            <w:r w:rsidRPr="008B346E">
              <w:rPr>
                <w:rFonts w:ascii="Poppins" w:hAnsi="Poppins" w:cs="Poppins"/>
                <w:b/>
                <w:bCs/>
                <w:i/>
                <w:iCs/>
                <w:lang w:val="en-GB"/>
              </w:rPr>
              <w:t>Dominio: abitazione e residenza</w:t>
            </w:r>
          </w:p>
        </w:tc>
      </w:tr>
      <w:tr w:rsidR="00DA45F1" w:rsidRPr="008B346E" w14:paraId="285D561B" w14:textId="77777777" w:rsidTr="00B74592">
        <w:tc>
          <w:tcPr>
            <w:tcW w:w="0" w:type="auto"/>
            <w:tcMar>
              <w:left w:w="28" w:type="dxa"/>
              <w:right w:w="28" w:type="dxa"/>
            </w:tcMar>
          </w:tcPr>
          <w:p w14:paraId="69D1EBAE"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lastRenderedPageBreak/>
              <w:t>Proprietà della casa</w:t>
            </w:r>
          </w:p>
        </w:tc>
        <w:tc>
          <w:tcPr>
            <w:tcW w:w="0" w:type="auto"/>
            <w:tcMar>
              <w:left w:w="28" w:type="dxa"/>
              <w:right w:w="28" w:type="dxa"/>
            </w:tcMar>
          </w:tcPr>
          <w:p w14:paraId="354B648D" w14:textId="77777777" w:rsidR="00DA45F1" w:rsidRPr="008B346E" w:rsidRDefault="00DA45F1" w:rsidP="00B74592">
            <w:pPr>
              <w:jc w:val="both"/>
              <w:rPr>
                <w:rFonts w:ascii="Poppins" w:hAnsi="Poppins" w:cs="Poppins"/>
                <w:lang w:val="en-GB"/>
              </w:rPr>
            </w:pPr>
            <w:r w:rsidRPr="008B346E">
              <w:rPr>
                <w:rFonts w:ascii="Poppins" w:hAnsi="Poppins" w:cs="Poppins"/>
                <w:lang w:val="en-GB"/>
              </w:rPr>
              <w:t>Percentuale di proprietà dell'abitazione per tipologia di famiglia. Fonte: EU-SILC.</w:t>
            </w:r>
          </w:p>
        </w:tc>
      </w:tr>
      <w:tr w:rsidR="00DA45F1" w:rsidRPr="008B346E" w14:paraId="25F9B9F9" w14:textId="77777777" w:rsidTr="00B74592">
        <w:tc>
          <w:tcPr>
            <w:tcW w:w="0" w:type="auto"/>
            <w:tcMar>
              <w:left w:w="28" w:type="dxa"/>
              <w:right w:w="28" w:type="dxa"/>
            </w:tcMar>
          </w:tcPr>
          <w:p w14:paraId="1FBD1E54"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Tasso di deprivazione abitativa</w:t>
            </w:r>
          </w:p>
        </w:tc>
        <w:tc>
          <w:tcPr>
            <w:tcW w:w="0" w:type="auto"/>
            <w:tcMar>
              <w:left w:w="28" w:type="dxa"/>
              <w:right w:w="28" w:type="dxa"/>
            </w:tcMar>
          </w:tcPr>
          <w:p w14:paraId="35415229" w14:textId="77777777" w:rsidR="00DA45F1" w:rsidRPr="008B346E" w:rsidRDefault="00DA45F1" w:rsidP="00B74592">
            <w:pPr>
              <w:jc w:val="both"/>
              <w:rPr>
                <w:rFonts w:ascii="Poppins" w:hAnsi="Poppins" w:cs="Poppins"/>
                <w:lang w:val="en-GB"/>
              </w:rPr>
            </w:pPr>
            <w:r w:rsidRPr="008B346E">
              <w:rPr>
                <w:rFonts w:ascii="Poppins" w:hAnsi="Poppins" w:cs="Poppins"/>
                <w:lang w:val="en-GB"/>
              </w:rPr>
              <w:t>Percentuale di popolazione (anziana) che vive in un'abitazione con perdite dal tetto, pareti, pavimenti o fondamenta umide, o marciume nei telai delle finestre o nel pavimento. Fonte: EU-SILC; INIH-SS.</w:t>
            </w:r>
          </w:p>
        </w:tc>
      </w:tr>
      <w:tr w:rsidR="00DA45F1" w:rsidRPr="008B346E" w14:paraId="721B4F53" w14:textId="77777777" w:rsidTr="00B74592">
        <w:tc>
          <w:tcPr>
            <w:tcW w:w="0" w:type="auto"/>
            <w:tcMar>
              <w:left w:w="28" w:type="dxa"/>
              <w:right w:w="28" w:type="dxa"/>
            </w:tcMar>
          </w:tcPr>
          <w:p w14:paraId="78605F71" w14:textId="77777777" w:rsidR="00DA45F1" w:rsidRPr="008B346E" w:rsidRDefault="00DA45F1" w:rsidP="00B74592">
            <w:pPr>
              <w:jc w:val="both"/>
              <w:rPr>
                <w:rFonts w:ascii="Poppins" w:hAnsi="Poppins" w:cs="Poppins"/>
                <w:lang w:val="en-GB"/>
              </w:rPr>
            </w:pPr>
            <w:r w:rsidRPr="008B346E">
              <w:rPr>
                <w:rFonts w:ascii="Poppins" w:hAnsi="Poppins" w:cs="Poppins"/>
                <w:i/>
                <w:iCs/>
                <w:lang w:val="en-GB"/>
              </w:rPr>
              <w:t>Tasso di sovraffollamento</w:t>
            </w:r>
          </w:p>
        </w:tc>
        <w:tc>
          <w:tcPr>
            <w:tcW w:w="0" w:type="auto"/>
            <w:tcMar>
              <w:left w:w="28" w:type="dxa"/>
              <w:right w:w="28" w:type="dxa"/>
            </w:tcMar>
          </w:tcPr>
          <w:p w14:paraId="243A7806" w14:textId="77777777" w:rsidR="00DA45F1" w:rsidRPr="008B346E" w:rsidRDefault="00DA45F1" w:rsidP="00B74592">
            <w:pPr>
              <w:jc w:val="both"/>
              <w:rPr>
                <w:rFonts w:ascii="Poppins" w:hAnsi="Poppins" w:cs="Poppins"/>
                <w:lang w:val="en-GB"/>
              </w:rPr>
            </w:pPr>
            <w:r w:rsidRPr="008B346E">
              <w:rPr>
                <w:rFonts w:ascii="Poppins" w:hAnsi="Poppins" w:cs="Poppins"/>
                <w:lang w:val="en-GB"/>
              </w:rPr>
              <w:t>Percentuale di persone (anziane) che vivono in un'abitazione sovraffollata, definita in base al numero di stanze a disposizione del nucleo familiare, alle sue dimensioni, nonché all'età dei suoi membri e alla situazione familiare. Fonte: EU-SILC.</w:t>
            </w:r>
          </w:p>
        </w:tc>
      </w:tr>
      <w:tr w:rsidR="00DA45F1" w:rsidRPr="008B346E" w14:paraId="370A43EB" w14:textId="77777777" w:rsidTr="00B74592">
        <w:tc>
          <w:tcPr>
            <w:tcW w:w="0" w:type="auto"/>
            <w:tcMar>
              <w:left w:w="28" w:type="dxa"/>
              <w:right w:w="28" w:type="dxa"/>
            </w:tcMar>
          </w:tcPr>
          <w:p w14:paraId="1CBF187E"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Percentuale di persone (anziane) che vivono in abitazioni sottooccupate</w:t>
            </w:r>
          </w:p>
        </w:tc>
        <w:tc>
          <w:tcPr>
            <w:tcW w:w="0" w:type="auto"/>
            <w:tcMar>
              <w:left w:w="28" w:type="dxa"/>
              <w:right w:w="28" w:type="dxa"/>
            </w:tcMar>
          </w:tcPr>
          <w:p w14:paraId="6A1B5EA1" w14:textId="77777777" w:rsidR="00DA45F1" w:rsidRPr="008B346E" w:rsidRDefault="00DA45F1" w:rsidP="00B74592">
            <w:pPr>
              <w:jc w:val="both"/>
              <w:rPr>
                <w:rFonts w:ascii="Poppins" w:hAnsi="Poppins" w:cs="Poppins"/>
                <w:lang w:val="en-GB"/>
              </w:rPr>
            </w:pPr>
            <w:r w:rsidRPr="008B346E">
              <w:rPr>
                <w:rFonts w:ascii="Poppins" w:hAnsi="Poppins" w:cs="Poppins"/>
                <w:lang w:val="en-GB"/>
              </w:rPr>
              <w:t>La sottooccupazione si contrappone a una situazione di sovraffollamento. La sottooccupazione è definita in base al numero di stanze disponibili per il nucleo familiare, alle sue dimensioni, nonché all'età dei suoi membri e alla situazione familiare. Fonte: EU-SILC.</w:t>
            </w:r>
          </w:p>
        </w:tc>
      </w:tr>
      <w:tr w:rsidR="00DA45F1" w:rsidRPr="008B346E" w14:paraId="06764D8F" w14:textId="77777777" w:rsidTr="00B74592">
        <w:tc>
          <w:tcPr>
            <w:tcW w:w="0" w:type="auto"/>
            <w:tcMar>
              <w:left w:w="28" w:type="dxa"/>
              <w:right w:w="28" w:type="dxa"/>
            </w:tcMar>
          </w:tcPr>
          <w:p w14:paraId="1FDC6AC3"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Mediana della distribuzione dell'onere dei costi abitativi</w:t>
            </w:r>
          </w:p>
        </w:tc>
        <w:tc>
          <w:tcPr>
            <w:tcW w:w="0" w:type="auto"/>
            <w:tcMar>
              <w:left w:w="28" w:type="dxa"/>
              <w:right w:w="28" w:type="dxa"/>
            </w:tcMar>
          </w:tcPr>
          <w:p w14:paraId="65F86CE4" w14:textId="77777777" w:rsidR="00DA45F1" w:rsidRPr="008B346E" w:rsidRDefault="00DA45F1" w:rsidP="00B74592">
            <w:pPr>
              <w:jc w:val="both"/>
              <w:rPr>
                <w:rFonts w:ascii="Poppins" w:hAnsi="Poppins" w:cs="Poppins"/>
                <w:lang w:val="en-GB"/>
              </w:rPr>
            </w:pPr>
            <w:r w:rsidRPr="008B346E">
              <w:rPr>
                <w:rFonts w:ascii="Poppins" w:hAnsi="Poppins" w:cs="Poppins"/>
                <w:lang w:val="en-GB"/>
              </w:rPr>
              <w:t>La mediana ponderata della distribuzione della quota dei costi totali dell'alloggio (al netto delle indennità di alloggio) sul reddito familiare disponibile totale (al netto delle indennità di alloggio) in ciascuna (combinazione) di dimensioni. Fonte: EU-SILC</w:t>
            </w:r>
          </w:p>
        </w:tc>
      </w:tr>
      <w:tr w:rsidR="00DA45F1" w:rsidRPr="008B346E" w14:paraId="6138F9D0" w14:textId="77777777" w:rsidTr="00B74592">
        <w:tc>
          <w:tcPr>
            <w:tcW w:w="0" w:type="auto"/>
            <w:tcMar>
              <w:left w:w="28" w:type="dxa"/>
              <w:right w:w="28" w:type="dxa"/>
            </w:tcMar>
          </w:tcPr>
          <w:p w14:paraId="038A1B8E"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Tasso di sovraccarico dei costi abitativi</w:t>
            </w:r>
          </w:p>
        </w:tc>
        <w:tc>
          <w:tcPr>
            <w:tcW w:w="0" w:type="auto"/>
            <w:tcMar>
              <w:left w:w="28" w:type="dxa"/>
              <w:right w:w="28" w:type="dxa"/>
            </w:tcMar>
          </w:tcPr>
          <w:p w14:paraId="644FB754" w14:textId="77777777" w:rsidR="00DA45F1" w:rsidRPr="008B346E" w:rsidRDefault="00DA45F1" w:rsidP="00B74592">
            <w:pPr>
              <w:jc w:val="both"/>
              <w:rPr>
                <w:rFonts w:ascii="Poppins" w:hAnsi="Poppins" w:cs="Poppins"/>
                <w:lang w:val="en-GB"/>
              </w:rPr>
            </w:pPr>
            <w:r w:rsidRPr="008B346E">
              <w:rPr>
                <w:rFonts w:ascii="Poppins" w:hAnsi="Poppins" w:cs="Poppins"/>
                <w:lang w:val="en-GB"/>
              </w:rPr>
              <w:t>Percentuale della popolazione che vive in famiglie in cui i costi totali dell'alloggio ('al netto' delle indennità di alloggio) rappresentano più del 40% del reddito disponibile ('al netto' delle indennità di alloggio). Fonte: EU-SILC</w:t>
            </w:r>
          </w:p>
        </w:tc>
      </w:tr>
      <w:tr w:rsidR="00DA45F1" w:rsidRPr="008B346E" w14:paraId="70B26382" w14:textId="77777777" w:rsidTr="00B74592">
        <w:tc>
          <w:tcPr>
            <w:tcW w:w="0" w:type="auto"/>
            <w:tcMar>
              <w:left w:w="28" w:type="dxa"/>
              <w:right w:w="28" w:type="dxa"/>
            </w:tcMar>
          </w:tcPr>
          <w:p w14:paraId="61D49AC5"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Famiglie che non riescono a mantenere un raffreddamento confortevole durante l'estate</w:t>
            </w:r>
          </w:p>
        </w:tc>
        <w:tc>
          <w:tcPr>
            <w:tcW w:w="0" w:type="auto"/>
            <w:tcMar>
              <w:left w:w="28" w:type="dxa"/>
              <w:right w:w="28" w:type="dxa"/>
            </w:tcMar>
          </w:tcPr>
          <w:p w14:paraId="34425B39" w14:textId="77777777" w:rsidR="00DA45F1" w:rsidRPr="008B346E" w:rsidRDefault="00DA45F1" w:rsidP="00B74592">
            <w:pPr>
              <w:jc w:val="both"/>
              <w:rPr>
                <w:rFonts w:ascii="Poppins" w:hAnsi="Poppins" w:cs="Poppins"/>
                <w:lang w:val="en-GB"/>
              </w:rPr>
            </w:pPr>
            <w:r w:rsidRPr="008B346E">
              <w:rPr>
                <w:rFonts w:ascii="Poppins" w:hAnsi="Poppins" w:cs="Poppins"/>
                <w:lang w:val="en-GB"/>
              </w:rPr>
              <w:t>Fonte: EU-SILC.</w:t>
            </w:r>
          </w:p>
        </w:tc>
      </w:tr>
      <w:tr w:rsidR="00DA45F1" w:rsidRPr="008B346E" w14:paraId="7E87D1F0" w14:textId="77777777" w:rsidTr="00B74592">
        <w:tc>
          <w:tcPr>
            <w:tcW w:w="0" w:type="auto"/>
            <w:tcMar>
              <w:left w:w="28" w:type="dxa"/>
              <w:right w:w="28" w:type="dxa"/>
            </w:tcMar>
          </w:tcPr>
          <w:p w14:paraId="06A06F36"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Famiglie che non riescono a mantenere la propria casa adeguatamente calda</w:t>
            </w:r>
          </w:p>
        </w:tc>
        <w:tc>
          <w:tcPr>
            <w:tcW w:w="0" w:type="auto"/>
            <w:tcMar>
              <w:left w:w="28" w:type="dxa"/>
              <w:right w:w="28" w:type="dxa"/>
            </w:tcMar>
          </w:tcPr>
          <w:p w14:paraId="53D71D31" w14:textId="77777777" w:rsidR="00DA45F1" w:rsidRPr="008B346E" w:rsidRDefault="00DA45F1" w:rsidP="00B74592">
            <w:pPr>
              <w:jc w:val="both"/>
              <w:rPr>
                <w:rFonts w:ascii="Poppins" w:hAnsi="Poppins" w:cs="Poppins"/>
                <w:lang w:val="en-GB"/>
              </w:rPr>
            </w:pPr>
            <w:r w:rsidRPr="008B346E">
              <w:rPr>
                <w:rFonts w:ascii="Poppins" w:hAnsi="Poppins" w:cs="Poppins"/>
                <w:lang w:val="en-GB"/>
              </w:rPr>
              <w:t>Fonte: EU-SILC.</w:t>
            </w:r>
          </w:p>
        </w:tc>
      </w:tr>
      <w:tr w:rsidR="00DA45F1" w:rsidRPr="008B346E" w14:paraId="4F17CFB6" w14:textId="77777777" w:rsidTr="00B74592">
        <w:tc>
          <w:tcPr>
            <w:tcW w:w="0" w:type="auto"/>
            <w:gridSpan w:val="2"/>
            <w:tcMar>
              <w:left w:w="28" w:type="dxa"/>
              <w:right w:w="28" w:type="dxa"/>
            </w:tcMar>
          </w:tcPr>
          <w:p w14:paraId="3B8DEF08" w14:textId="77777777" w:rsidR="00DA45F1" w:rsidRPr="008B346E" w:rsidRDefault="00DA45F1" w:rsidP="00B74592">
            <w:pPr>
              <w:jc w:val="both"/>
              <w:rPr>
                <w:rFonts w:ascii="Poppins" w:hAnsi="Poppins" w:cs="Poppins"/>
                <w:lang w:val="en-GB"/>
              </w:rPr>
            </w:pPr>
            <w:r w:rsidRPr="008B346E">
              <w:rPr>
                <w:rFonts w:ascii="Poppins" w:hAnsi="Poppins" w:cs="Poppins"/>
                <w:b/>
                <w:bCs/>
                <w:i/>
                <w:iCs/>
                <w:lang w:val="en-GB"/>
              </w:rPr>
              <w:t>Ambito: condizioni di vita degli anziani nella loro zona</w:t>
            </w:r>
          </w:p>
        </w:tc>
      </w:tr>
      <w:tr w:rsidR="00DA45F1" w:rsidRPr="008B346E" w14:paraId="2513C6F1" w14:textId="77777777" w:rsidTr="00B74592">
        <w:tc>
          <w:tcPr>
            <w:tcW w:w="0" w:type="auto"/>
            <w:tcMar>
              <w:left w:w="28" w:type="dxa"/>
              <w:right w:w="28" w:type="dxa"/>
            </w:tcMar>
          </w:tcPr>
          <w:p w14:paraId="5F884FBC"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lastRenderedPageBreak/>
              <w:t>Distribuzione della popolazione (anziana) per grado di urbanizzazione e tipo di abitazione</w:t>
            </w:r>
          </w:p>
        </w:tc>
        <w:tc>
          <w:tcPr>
            <w:tcW w:w="0" w:type="auto"/>
            <w:tcMar>
              <w:left w:w="28" w:type="dxa"/>
              <w:right w:w="28" w:type="dxa"/>
            </w:tcMar>
          </w:tcPr>
          <w:p w14:paraId="0B67B83E" w14:textId="77777777" w:rsidR="00DA45F1" w:rsidRPr="008B346E" w:rsidRDefault="00DA45F1" w:rsidP="00B74592">
            <w:pPr>
              <w:jc w:val="both"/>
              <w:rPr>
                <w:rFonts w:ascii="Poppins" w:hAnsi="Poppins" w:cs="Poppins"/>
                <w:lang w:val="en-GB"/>
              </w:rPr>
            </w:pPr>
            <w:r w:rsidRPr="008B346E">
              <w:rPr>
                <w:rFonts w:ascii="Poppins" w:hAnsi="Poppins" w:cs="Poppins"/>
                <w:lang w:val="en-GB"/>
              </w:rPr>
              <w:t>Il grado di urbanizzazione classifica le unità amministrative locali (LAU) come città, paesi e periferie o aree rurali in base a una combinazione di contiguità geografica e densità di popolazione, misurata da soglie minime di popolazione applicate a celle della griglia demografica di 1 km²; ogni LAU appartiene esclusivamente a una di queste tre classi. Fonte: EU-SILC.</w:t>
            </w:r>
          </w:p>
        </w:tc>
      </w:tr>
      <w:tr w:rsidR="00DA45F1" w:rsidRPr="008B346E" w14:paraId="59D570D8" w14:textId="77777777" w:rsidTr="00B74592">
        <w:tc>
          <w:tcPr>
            <w:tcW w:w="0" w:type="auto"/>
            <w:tcMar>
              <w:left w:w="28" w:type="dxa"/>
              <w:right w:w="28" w:type="dxa"/>
            </w:tcMar>
          </w:tcPr>
          <w:p w14:paraId="02C3C9AC"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Famiglie che affrontano il rumore nella loro zona</w:t>
            </w:r>
          </w:p>
        </w:tc>
        <w:tc>
          <w:tcPr>
            <w:tcW w:w="0" w:type="auto"/>
            <w:tcMar>
              <w:left w:w="28" w:type="dxa"/>
              <w:right w:w="28" w:type="dxa"/>
            </w:tcMar>
          </w:tcPr>
          <w:p w14:paraId="2C1C6EDA" w14:textId="77777777" w:rsidR="00DA45F1" w:rsidRPr="008B346E" w:rsidRDefault="00DA45F1" w:rsidP="00B74592">
            <w:pPr>
              <w:jc w:val="both"/>
              <w:rPr>
                <w:rFonts w:ascii="Poppins" w:hAnsi="Poppins" w:cs="Poppins"/>
                <w:lang w:val="en-GB"/>
              </w:rPr>
            </w:pPr>
            <w:r w:rsidRPr="008B346E">
              <w:rPr>
                <w:rFonts w:ascii="Poppins" w:hAnsi="Poppins" w:cs="Poppins"/>
                <w:lang w:val="en-GB"/>
              </w:rPr>
              <w:t>EU-SILC.</w:t>
            </w:r>
          </w:p>
        </w:tc>
      </w:tr>
      <w:tr w:rsidR="00DA45F1" w:rsidRPr="008B346E" w14:paraId="31C90BA2" w14:textId="77777777" w:rsidTr="00B74592">
        <w:tc>
          <w:tcPr>
            <w:tcW w:w="0" w:type="auto"/>
            <w:tcMar>
              <w:left w:w="28" w:type="dxa"/>
              <w:right w:w="28" w:type="dxa"/>
            </w:tcMar>
          </w:tcPr>
          <w:p w14:paraId="6C570288" w14:textId="77777777" w:rsidR="00DA45F1" w:rsidRPr="008B346E" w:rsidRDefault="00DA45F1" w:rsidP="00B74592">
            <w:pPr>
              <w:jc w:val="both"/>
              <w:rPr>
                <w:rFonts w:ascii="Poppins" w:hAnsi="Poppins" w:cs="Poppins"/>
                <w:lang w:val="en-GB"/>
              </w:rPr>
            </w:pPr>
            <w:r w:rsidRPr="008B346E">
              <w:rPr>
                <w:rFonts w:ascii="Poppins" w:hAnsi="Poppins" w:cs="Poppins"/>
                <w:i/>
                <w:iCs/>
                <w:lang w:val="en-GB"/>
              </w:rPr>
              <w:t>Famiglie che affrontano problemi ambientali nella loro zona</w:t>
            </w:r>
          </w:p>
        </w:tc>
        <w:tc>
          <w:tcPr>
            <w:tcW w:w="0" w:type="auto"/>
            <w:tcMar>
              <w:left w:w="28" w:type="dxa"/>
              <w:right w:w="28" w:type="dxa"/>
            </w:tcMar>
          </w:tcPr>
          <w:p w14:paraId="6109031B" w14:textId="77777777" w:rsidR="00DA45F1" w:rsidRPr="008B346E" w:rsidRDefault="00DA45F1" w:rsidP="00B74592">
            <w:pPr>
              <w:jc w:val="both"/>
              <w:rPr>
                <w:rFonts w:ascii="Poppins" w:hAnsi="Poppins" w:cs="Poppins"/>
                <w:lang w:val="en-GB"/>
              </w:rPr>
            </w:pPr>
            <w:r w:rsidRPr="008B346E">
              <w:rPr>
                <w:rFonts w:ascii="Poppins" w:hAnsi="Poppins" w:cs="Poppins"/>
                <w:lang w:val="en-GB"/>
              </w:rPr>
              <w:t>EU-SILC.</w:t>
            </w:r>
          </w:p>
        </w:tc>
      </w:tr>
      <w:tr w:rsidR="00DA45F1" w:rsidRPr="008B346E" w14:paraId="6CEC8365" w14:textId="77777777" w:rsidTr="00B74592">
        <w:tc>
          <w:tcPr>
            <w:tcW w:w="0" w:type="auto"/>
            <w:tcMar>
              <w:left w:w="28" w:type="dxa"/>
              <w:right w:w="28" w:type="dxa"/>
            </w:tcMar>
          </w:tcPr>
          <w:p w14:paraId="08D0241D"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Famiglie che affrontano criminalità, violenza o vandalismo nella loro zona</w:t>
            </w:r>
          </w:p>
        </w:tc>
        <w:tc>
          <w:tcPr>
            <w:tcW w:w="0" w:type="auto"/>
            <w:tcMar>
              <w:left w:w="28" w:type="dxa"/>
              <w:right w:w="28" w:type="dxa"/>
            </w:tcMar>
          </w:tcPr>
          <w:p w14:paraId="34063358" w14:textId="77777777" w:rsidR="00DA45F1" w:rsidRPr="008B346E" w:rsidRDefault="00DA45F1" w:rsidP="00B74592">
            <w:pPr>
              <w:jc w:val="both"/>
              <w:rPr>
                <w:rFonts w:ascii="Poppins" w:hAnsi="Poppins" w:cs="Poppins"/>
                <w:lang w:val="en-GB"/>
              </w:rPr>
            </w:pPr>
            <w:r w:rsidRPr="008B346E">
              <w:rPr>
                <w:rFonts w:ascii="Poppins" w:hAnsi="Poppins" w:cs="Poppins"/>
                <w:lang w:val="en-GB"/>
              </w:rPr>
              <w:t>EU-SILC.</w:t>
            </w:r>
          </w:p>
        </w:tc>
      </w:tr>
      <w:tr w:rsidR="00DA45F1" w:rsidRPr="008B346E" w14:paraId="08319339" w14:textId="77777777" w:rsidTr="00B74592">
        <w:tc>
          <w:tcPr>
            <w:tcW w:w="0" w:type="auto"/>
            <w:tcMar>
              <w:left w:w="28" w:type="dxa"/>
              <w:right w:w="28" w:type="dxa"/>
            </w:tcMar>
          </w:tcPr>
          <w:p w14:paraId="48799E05"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Sicurezza fisica percepita</w:t>
            </w:r>
          </w:p>
        </w:tc>
        <w:tc>
          <w:tcPr>
            <w:tcW w:w="0" w:type="auto"/>
            <w:tcMar>
              <w:left w:w="28" w:type="dxa"/>
              <w:right w:w="28" w:type="dxa"/>
            </w:tcMar>
          </w:tcPr>
          <w:p w14:paraId="7CB0080B" w14:textId="77777777" w:rsidR="00DA45F1" w:rsidRPr="008B346E" w:rsidRDefault="00DA45F1" w:rsidP="00B74592">
            <w:pPr>
              <w:jc w:val="both"/>
              <w:rPr>
                <w:rFonts w:ascii="Poppins" w:hAnsi="Poppins" w:cs="Poppins"/>
                <w:lang w:val="en-GB"/>
              </w:rPr>
            </w:pPr>
            <w:r w:rsidRPr="008B346E">
              <w:rPr>
                <w:rFonts w:ascii="Poppins" w:hAnsi="Poppins" w:cs="Poppins"/>
                <w:lang w:val="en-GB"/>
              </w:rPr>
              <w:t>La percezione della sicurezza fisica tra le persone di età pari o superiore a 65 anni. Agli intervistati viene chiesto di indicare "quanto si sentono sicuri nel loro quartiere o nella zona in cui vivono", con risposte che vanno da "molto sicuro" a "per niente sicuro". INIH-SS.</w:t>
            </w:r>
          </w:p>
        </w:tc>
      </w:tr>
      <w:tr w:rsidR="00DA45F1" w:rsidRPr="008B346E" w14:paraId="07CBAC1E" w14:textId="77777777" w:rsidTr="00B74592">
        <w:tc>
          <w:tcPr>
            <w:tcW w:w="0" w:type="auto"/>
            <w:tcMar>
              <w:left w:w="28" w:type="dxa"/>
              <w:right w:w="28" w:type="dxa"/>
            </w:tcMar>
          </w:tcPr>
          <w:p w14:paraId="70E9A3AE"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Accessibilità ai servizi sanitari</w:t>
            </w:r>
          </w:p>
        </w:tc>
        <w:tc>
          <w:tcPr>
            <w:tcW w:w="0" w:type="auto"/>
            <w:tcMar>
              <w:left w:w="28" w:type="dxa"/>
              <w:right w:w="28" w:type="dxa"/>
            </w:tcMar>
          </w:tcPr>
          <w:p w14:paraId="4E395055" w14:textId="77777777" w:rsidR="00DA45F1" w:rsidRPr="008B346E" w:rsidRDefault="00DA45F1" w:rsidP="00B74592">
            <w:pPr>
              <w:jc w:val="both"/>
              <w:rPr>
                <w:rFonts w:ascii="Poppins" w:hAnsi="Poppins" w:cs="Poppins"/>
                <w:lang w:val="en-GB"/>
              </w:rPr>
            </w:pPr>
            <w:r w:rsidRPr="008B346E">
              <w:rPr>
                <w:rFonts w:ascii="Poppins" w:hAnsi="Poppins" w:cs="Poppins"/>
                <w:lang w:val="en-GB"/>
              </w:rPr>
              <w:t>Persone di età pari o superiore a 65 anni che dichiarano di avere difficoltà significative o di qualche difficoltà nel raggiungere i servizi sanitari (ASL, medico di base). Fonte: INIH-SS.</w:t>
            </w:r>
          </w:p>
        </w:tc>
      </w:tr>
      <w:tr w:rsidR="00DA45F1" w:rsidRPr="008B346E" w14:paraId="0E85CBCC" w14:textId="77777777" w:rsidTr="00B74592">
        <w:tc>
          <w:tcPr>
            <w:tcW w:w="0" w:type="auto"/>
            <w:tcMar>
              <w:left w:w="28" w:type="dxa"/>
              <w:right w:w="28" w:type="dxa"/>
            </w:tcMar>
          </w:tcPr>
          <w:p w14:paraId="2B96A935"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Accessibilità quotidiana ai servizi pubblici</w:t>
            </w:r>
          </w:p>
        </w:tc>
        <w:tc>
          <w:tcPr>
            <w:tcW w:w="0" w:type="auto"/>
            <w:tcMar>
              <w:left w:w="28" w:type="dxa"/>
              <w:right w:w="28" w:type="dxa"/>
            </w:tcMar>
          </w:tcPr>
          <w:p w14:paraId="4DE61378" w14:textId="77777777" w:rsidR="00DA45F1" w:rsidRPr="008B346E" w:rsidRDefault="00DA45F1" w:rsidP="00B74592">
            <w:pPr>
              <w:jc w:val="both"/>
              <w:rPr>
                <w:rFonts w:ascii="Poppins" w:hAnsi="Poppins" w:cs="Poppins"/>
                <w:lang w:val="en-GB"/>
              </w:rPr>
            </w:pPr>
            <w:r w:rsidRPr="008B346E">
              <w:rPr>
                <w:rFonts w:ascii="Poppins" w:hAnsi="Poppins" w:cs="Poppins"/>
                <w:lang w:val="en-GB"/>
              </w:rPr>
              <w:t>Persone di età pari o superiore a 65 anni che dichiarano di avere difficoltà significative o di qualche difficoltà nel raggiungere i servizi pubblici quotidiani (farmacie, supermercati, supermercati, centri commerciali). Fonte: INIH-SS.</w:t>
            </w:r>
          </w:p>
        </w:tc>
      </w:tr>
      <w:tr w:rsidR="00DA45F1" w:rsidRPr="008B346E" w14:paraId="4199DB56" w14:textId="77777777" w:rsidTr="00B74592">
        <w:tc>
          <w:tcPr>
            <w:tcW w:w="0" w:type="auto"/>
            <w:tcMar>
              <w:left w:w="28" w:type="dxa"/>
              <w:right w:w="28" w:type="dxa"/>
            </w:tcMar>
          </w:tcPr>
          <w:p w14:paraId="3DE8057C"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Accessibilità dei servizi sociali comunali</w:t>
            </w:r>
          </w:p>
        </w:tc>
        <w:tc>
          <w:tcPr>
            <w:tcW w:w="0" w:type="auto"/>
            <w:tcMar>
              <w:left w:w="28" w:type="dxa"/>
              <w:right w:w="28" w:type="dxa"/>
            </w:tcMar>
          </w:tcPr>
          <w:p w14:paraId="09273E9E" w14:textId="77777777" w:rsidR="00DA45F1" w:rsidRPr="008B346E" w:rsidRDefault="00DA45F1" w:rsidP="00B74592">
            <w:pPr>
              <w:jc w:val="both"/>
              <w:rPr>
                <w:rFonts w:ascii="Poppins" w:hAnsi="Poppins" w:cs="Poppins"/>
                <w:lang w:val="en-GB"/>
              </w:rPr>
            </w:pPr>
            <w:r w:rsidRPr="008B346E">
              <w:rPr>
                <w:rFonts w:ascii="Poppins" w:hAnsi="Poppins" w:cs="Poppins"/>
                <w:lang w:val="en-GB"/>
              </w:rPr>
              <w:t>Persone di età pari o superiore a 65 anni che segnalano di avere difficoltà significative o di qualche difficoltà nel raggiungere i servizi sociali comunali. Fonte: INIH-SS.</w:t>
            </w:r>
          </w:p>
        </w:tc>
      </w:tr>
      <w:tr w:rsidR="00DA45F1" w:rsidRPr="008B346E" w14:paraId="29457EC0" w14:textId="77777777" w:rsidTr="00B74592">
        <w:tc>
          <w:tcPr>
            <w:tcW w:w="0" w:type="auto"/>
            <w:tcMar>
              <w:left w:w="28" w:type="dxa"/>
              <w:right w:w="28" w:type="dxa"/>
            </w:tcMar>
          </w:tcPr>
          <w:p w14:paraId="468044F7"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Attesa presso gli uffici pubblici</w:t>
            </w:r>
          </w:p>
        </w:tc>
        <w:tc>
          <w:tcPr>
            <w:tcW w:w="0" w:type="auto"/>
            <w:tcMar>
              <w:left w:w="28" w:type="dxa"/>
              <w:right w:w="28" w:type="dxa"/>
            </w:tcMar>
          </w:tcPr>
          <w:p w14:paraId="41E27F96" w14:textId="77777777" w:rsidR="00DA45F1" w:rsidRPr="008B346E" w:rsidRDefault="00DA45F1" w:rsidP="00B74592">
            <w:pPr>
              <w:jc w:val="both"/>
              <w:rPr>
                <w:rFonts w:ascii="Poppins" w:hAnsi="Poppins" w:cs="Poppins"/>
                <w:lang w:val="en-GB"/>
              </w:rPr>
            </w:pPr>
            <w:r w:rsidRPr="008B346E">
              <w:rPr>
                <w:rFonts w:ascii="Poppins" w:hAnsi="Poppins" w:cs="Poppins"/>
                <w:lang w:val="en-GB"/>
              </w:rPr>
              <w:t>Quota di adulti (anziani) che si sono recati all'anagrafe, all'ASL e all'ufficio postale, con un tempo di attesa allo sportello superiore a 20 minuti.</w:t>
            </w:r>
          </w:p>
        </w:tc>
      </w:tr>
      <w:tr w:rsidR="00DA45F1" w:rsidRPr="008B346E" w14:paraId="0754FC57" w14:textId="77777777" w:rsidTr="00B74592">
        <w:tc>
          <w:tcPr>
            <w:tcW w:w="0" w:type="auto"/>
            <w:tcMar>
              <w:left w:w="28" w:type="dxa"/>
              <w:right w:w="28" w:type="dxa"/>
            </w:tcMar>
          </w:tcPr>
          <w:p w14:paraId="6A1C5CBF"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lastRenderedPageBreak/>
              <w:t>Accesso ai trasporti pubblici</w:t>
            </w:r>
          </w:p>
        </w:tc>
        <w:tc>
          <w:tcPr>
            <w:tcW w:w="0" w:type="auto"/>
            <w:tcMar>
              <w:left w:w="28" w:type="dxa"/>
              <w:right w:w="28" w:type="dxa"/>
            </w:tcMar>
          </w:tcPr>
          <w:p w14:paraId="5D1EF2C9" w14:textId="77777777" w:rsidR="00DA45F1" w:rsidRPr="008B346E" w:rsidRDefault="00DA45F1" w:rsidP="00B74592">
            <w:pPr>
              <w:jc w:val="both"/>
              <w:rPr>
                <w:rFonts w:ascii="Poppins" w:hAnsi="Poppins" w:cs="Poppins"/>
                <w:lang w:val="en-GB"/>
              </w:rPr>
            </w:pPr>
            <w:r w:rsidRPr="008B346E">
              <w:rPr>
                <w:rFonts w:ascii="Poppins" w:hAnsi="Poppins" w:cs="Poppins"/>
                <w:lang w:val="en-GB"/>
              </w:rPr>
              <w:t>Percentuale di adulti (anziani) in base al livello di difficoltà percepita nell'accesso ai trasporti pubblici. Fonte: EU-SILC.</w:t>
            </w:r>
          </w:p>
        </w:tc>
      </w:tr>
      <w:tr w:rsidR="00DA45F1" w:rsidRPr="008B346E" w14:paraId="469FBA6F" w14:textId="77777777" w:rsidTr="00B74592">
        <w:tc>
          <w:tcPr>
            <w:tcW w:w="0" w:type="auto"/>
            <w:gridSpan w:val="2"/>
            <w:tcMar>
              <w:left w:w="28" w:type="dxa"/>
              <w:right w:w="28" w:type="dxa"/>
            </w:tcMar>
          </w:tcPr>
          <w:p w14:paraId="6261379F" w14:textId="77777777" w:rsidR="00DA45F1" w:rsidRPr="008B346E" w:rsidRDefault="00DA45F1" w:rsidP="00B74592">
            <w:pPr>
              <w:jc w:val="both"/>
              <w:rPr>
                <w:rFonts w:ascii="Poppins" w:hAnsi="Poppins" w:cs="Poppins"/>
                <w:lang w:val="en-GB"/>
              </w:rPr>
            </w:pPr>
            <w:r w:rsidRPr="008B346E">
              <w:rPr>
                <w:rFonts w:ascii="Poppins" w:hAnsi="Poppins" w:cs="Poppins"/>
                <w:b/>
                <w:bCs/>
                <w:i/>
                <w:iCs/>
                <w:lang w:val="en-GB"/>
              </w:rPr>
              <w:t>Dominio: soddisfazione generale della vita</w:t>
            </w:r>
          </w:p>
        </w:tc>
      </w:tr>
      <w:tr w:rsidR="00DA45F1" w:rsidRPr="008B346E" w14:paraId="6F03A111" w14:textId="77777777" w:rsidTr="00B74592">
        <w:tc>
          <w:tcPr>
            <w:tcW w:w="0" w:type="auto"/>
            <w:tcMar>
              <w:left w:w="28" w:type="dxa"/>
              <w:right w:w="28" w:type="dxa"/>
            </w:tcMar>
          </w:tcPr>
          <w:p w14:paraId="78C00ED6" w14:textId="77777777" w:rsidR="00DA45F1" w:rsidRPr="008B346E" w:rsidRDefault="00DA45F1" w:rsidP="00B74592">
            <w:pPr>
              <w:jc w:val="both"/>
              <w:rPr>
                <w:rFonts w:ascii="Poppins" w:hAnsi="Poppins" w:cs="Poppins"/>
                <w:i/>
                <w:iCs/>
                <w:lang w:val="en-GB"/>
              </w:rPr>
            </w:pPr>
            <w:r w:rsidRPr="008B346E">
              <w:rPr>
                <w:rFonts w:ascii="Poppins" w:hAnsi="Poppins" w:cs="Poppins"/>
                <w:i/>
                <w:iCs/>
                <w:lang w:val="en-GB"/>
              </w:rPr>
              <w:t>Soddisfazione complessiva della vita</w:t>
            </w:r>
            <w:r w:rsidRPr="008B346E">
              <w:rPr>
                <w:rFonts w:ascii="Poppins" w:hAnsi="Poppins" w:cs="Poppins"/>
                <w:i/>
                <w:iCs/>
                <w:lang w:val="en-GB"/>
              </w:rPr>
              <w:tab/>
            </w:r>
          </w:p>
          <w:p w14:paraId="7B0611C3" w14:textId="77777777" w:rsidR="00DA45F1" w:rsidRPr="008B346E" w:rsidRDefault="00DA45F1" w:rsidP="00B74592">
            <w:pPr>
              <w:jc w:val="both"/>
              <w:rPr>
                <w:rFonts w:ascii="Poppins" w:hAnsi="Poppins" w:cs="Poppins"/>
                <w:i/>
                <w:iCs/>
                <w:lang w:val="en-GB"/>
              </w:rPr>
            </w:pPr>
          </w:p>
        </w:tc>
        <w:tc>
          <w:tcPr>
            <w:tcW w:w="0" w:type="auto"/>
            <w:tcMar>
              <w:left w:w="28" w:type="dxa"/>
              <w:right w:w="28" w:type="dxa"/>
            </w:tcMar>
          </w:tcPr>
          <w:p w14:paraId="32E466F1" w14:textId="77777777" w:rsidR="00DA45F1" w:rsidRPr="008B346E" w:rsidRDefault="00DA45F1" w:rsidP="00B74592">
            <w:pPr>
              <w:jc w:val="both"/>
              <w:rPr>
                <w:rFonts w:ascii="Poppins" w:hAnsi="Poppins" w:cs="Poppins"/>
                <w:lang w:val="en-GB"/>
              </w:rPr>
            </w:pPr>
            <w:r w:rsidRPr="008B346E">
              <w:rPr>
                <w:rFonts w:ascii="Poppins" w:hAnsi="Poppins" w:cs="Poppins"/>
                <w:lang w:val="en-GB"/>
              </w:rPr>
              <w:t>Valutazione media della soddisfazione in diversi ambiti della vita, calcolata su una scala da 0 "per niente soddisfatto" a 10 "completamente soddisfatto". Fonte: EU-SILC.</w:t>
            </w:r>
          </w:p>
          <w:p w14:paraId="7F4E0430" w14:textId="77777777" w:rsidR="00DA45F1" w:rsidRPr="008B346E" w:rsidRDefault="00DA45F1" w:rsidP="00B74592">
            <w:pPr>
              <w:jc w:val="both"/>
              <w:rPr>
                <w:rFonts w:ascii="Poppins" w:hAnsi="Poppins" w:cs="Poppins"/>
                <w:lang w:val="en-GB"/>
              </w:rPr>
            </w:pPr>
            <w:r w:rsidRPr="008B346E">
              <w:rPr>
                <w:rFonts w:ascii="Poppins" w:hAnsi="Poppins" w:cs="Poppins"/>
                <w:lang w:val="en-GB"/>
              </w:rPr>
              <w:t>Persone di 65 anni e più che, alla domanda "Quanto sei soddisfatto della vita che conduci?" rispondono "abbastanza soddisfatto" o "molto soddisfatto". Fonte: INIH-SS.</w:t>
            </w:r>
          </w:p>
        </w:tc>
      </w:tr>
    </w:tbl>
    <w:p w14:paraId="7946FE49" w14:textId="77777777" w:rsidR="00DA45F1" w:rsidRPr="008B346E" w:rsidRDefault="00DA45F1" w:rsidP="00DA45F1">
      <w:pPr>
        <w:pStyle w:val="Titolo2"/>
        <w:ind w:left="1080"/>
        <w:rPr>
          <w:lang w:val="en-GB"/>
        </w:rPr>
      </w:pPr>
    </w:p>
    <w:p w14:paraId="1AE480E3" w14:textId="77777777" w:rsidR="00207AB3" w:rsidRPr="007657C5" w:rsidRDefault="00207AB3" w:rsidP="007657C5">
      <w:pPr>
        <w:pStyle w:val="Titolo2"/>
        <w:jc w:val="center"/>
        <w:rPr>
          <w:rFonts w:ascii="Poppins" w:hAnsi="Poppins" w:cs="Poppins"/>
          <w:color w:val="124F1A" w:themeColor="accent3" w:themeShade="BF"/>
          <w:sz w:val="36"/>
          <w:szCs w:val="36"/>
          <w:lang w:val="en-GB"/>
        </w:rPr>
      </w:pPr>
    </w:p>
    <w:sectPr w:rsidR="00207AB3" w:rsidRPr="007657C5">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9195E" w14:textId="77777777" w:rsidR="00CC5476" w:rsidRDefault="00CC5476" w:rsidP="0079697F">
      <w:r>
        <w:separator/>
      </w:r>
    </w:p>
  </w:endnote>
  <w:endnote w:type="continuationSeparator" w:id="0">
    <w:p w14:paraId="7C7ABF9D" w14:textId="77777777" w:rsidR="00CC5476" w:rsidRDefault="00CC5476" w:rsidP="00796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61133" w14:textId="77777777" w:rsidR="00CC5476" w:rsidRDefault="00CC5476" w:rsidP="0079697F">
      <w:r>
        <w:separator/>
      </w:r>
    </w:p>
  </w:footnote>
  <w:footnote w:type="continuationSeparator" w:id="0">
    <w:p w14:paraId="220A1E90" w14:textId="77777777" w:rsidR="00CC5476" w:rsidRDefault="00CC5476" w:rsidP="00796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615D" w14:textId="6B830D7B" w:rsidR="0079697F" w:rsidRDefault="0079697F">
    <w:pPr>
      <w:pStyle w:val="Intestazione"/>
    </w:pPr>
    <w:r>
      <w:rPr>
        <w:noProof/>
      </w:rPr>
      <w:drawing>
        <wp:anchor distT="0" distB="0" distL="114300" distR="114300" simplePos="0" relativeHeight="251659264" behindDoc="0" locked="0" layoutInCell="1" hidden="0" allowOverlap="1" wp14:anchorId="1DA90A4B" wp14:editId="6CEC7A85">
          <wp:simplePos x="0" y="0"/>
          <wp:positionH relativeFrom="page">
            <wp:posOffset>15755</wp:posOffset>
          </wp:positionH>
          <wp:positionV relativeFrom="paragraph">
            <wp:posOffset>-433121</wp:posOffset>
          </wp:positionV>
          <wp:extent cx="7561580" cy="885825"/>
          <wp:effectExtent l="0" t="0" r="1270" b="9525"/>
          <wp:wrapNone/>
          <wp:docPr id="1455172115" name="image1.png" descr="Immagine che contiene testo, schermata,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455172115" name="image1.png" descr="Immagine che contiene testo, schermata, Elementi grafici, logo&#10;&#10;Il contenuto generato dall'IA potrebbe non essere corretto."/>
                  <pic:cNvPicPr preferRelativeResize="0"/>
                </pic:nvPicPr>
                <pic:blipFill>
                  <a:blip r:embed="rId1"/>
                  <a:srcRect/>
                  <a:stretch>
                    <a:fillRect/>
                  </a:stretch>
                </pic:blipFill>
                <pic:spPr>
                  <a:xfrm>
                    <a:off x="0" y="0"/>
                    <a:ext cx="7561580" cy="885825"/>
                  </a:xfrm>
                  <a:prstGeom prst="rect">
                    <a:avLst/>
                  </a:prstGeom>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36CB4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20906CDF"/>
    <w:multiLevelType w:val="hybridMultilevel"/>
    <w:tmpl w:val="2C203A5E"/>
    <w:lvl w:ilvl="0" w:tplc="A47C9752">
      <w:start w:val="1"/>
      <w:numFmt w:val="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D12C33"/>
    <w:multiLevelType w:val="hybridMultilevel"/>
    <w:tmpl w:val="C3CE2B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A0810F7"/>
    <w:multiLevelType w:val="multilevel"/>
    <w:tmpl w:val="03647D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772E68BD"/>
    <w:multiLevelType w:val="multilevel"/>
    <w:tmpl w:val="D63EA9C6"/>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2880" w:hanging="2520"/>
      </w:pPr>
      <w:rPr>
        <w:rFonts w:hint="default"/>
      </w:rPr>
    </w:lvl>
    <w:lvl w:ilvl="6">
      <w:start w:val="1"/>
      <w:numFmt w:val="decimal"/>
      <w:isLgl/>
      <w:lvlText w:val="%1.%2.%3.%4.%5.%6.%7"/>
      <w:lvlJc w:val="left"/>
      <w:pPr>
        <w:ind w:left="3240" w:hanging="2880"/>
      </w:pPr>
      <w:rPr>
        <w:rFonts w:hint="default"/>
      </w:rPr>
    </w:lvl>
    <w:lvl w:ilvl="7">
      <w:start w:val="1"/>
      <w:numFmt w:val="decimal"/>
      <w:isLgl/>
      <w:lvlText w:val="%1.%2.%3.%4.%5.%6.%7.%8"/>
      <w:lvlJc w:val="left"/>
      <w:pPr>
        <w:ind w:left="3600" w:hanging="3240"/>
      </w:pPr>
      <w:rPr>
        <w:rFonts w:hint="default"/>
      </w:rPr>
    </w:lvl>
    <w:lvl w:ilvl="8">
      <w:start w:val="1"/>
      <w:numFmt w:val="decimal"/>
      <w:isLgl/>
      <w:lvlText w:val="%1.%2.%3.%4.%5.%6.%7.%8.%9"/>
      <w:lvlJc w:val="left"/>
      <w:pPr>
        <w:ind w:left="3960" w:hanging="3600"/>
      </w:pPr>
      <w:rPr>
        <w:rFonts w:hint="default"/>
      </w:rPr>
    </w:lvl>
  </w:abstractNum>
  <w:num w:numId="1" w16cid:durableId="186449925">
    <w:abstractNumId w:val="4"/>
  </w:num>
  <w:num w:numId="2" w16cid:durableId="1784156693">
    <w:abstractNumId w:val="3"/>
  </w:num>
  <w:num w:numId="3" w16cid:durableId="728652233">
    <w:abstractNumId w:val="0"/>
  </w:num>
  <w:num w:numId="4" w16cid:durableId="830750631">
    <w:abstractNumId w:val="1"/>
  </w:num>
  <w:num w:numId="5" w16cid:durableId="8481014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97F"/>
    <w:rsid w:val="00036AF9"/>
    <w:rsid w:val="000B13C7"/>
    <w:rsid w:val="001B3BE3"/>
    <w:rsid w:val="001F2272"/>
    <w:rsid w:val="00207AB3"/>
    <w:rsid w:val="002F6176"/>
    <w:rsid w:val="0040179F"/>
    <w:rsid w:val="004C207B"/>
    <w:rsid w:val="004F0188"/>
    <w:rsid w:val="005D01DF"/>
    <w:rsid w:val="00640CE0"/>
    <w:rsid w:val="007271A8"/>
    <w:rsid w:val="007657C5"/>
    <w:rsid w:val="00775CAA"/>
    <w:rsid w:val="007869FB"/>
    <w:rsid w:val="0079697F"/>
    <w:rsid w:val="00806D9D"/>
    <w:rsid w:val="00854359"/>
    <w:rsid w:val="008D1363"/>
    <w:rsid w:val="009770E2"/>
    <w:rsid w:val="009E1892"/>
    <w:rsid w:val="009E731E"/>
    <w:rsid w:val="00A0407F"/>
    <w:rsid w:val="00A42980"/>
    <w:rsid w:val="00A65CF0"/>
    <w:rsid w:val="00B63973"/>
    <w:rsid w:val="00B72DDC"/>
    <w:rsid w:val="00C72F59"/>
    <w:rsid w:val="00C875F3"/>
    <w:rsid w:val="00CC5476"/>
    <w:rsid w:val="00CF3DA8"/>
    <w:rsid w:val="00D42E8F"/>
    <w:rsid w:val="00D57771"/>
    <w:rsid w:val="00DA4184"/>
    <w:rsid w:val="00DA45F1"/>
    <w:rsid w:val="00DB3E72"/>
    <w:rsid w:val="00EB31EA"/>
    <w:rsid w:val="00F12A1B"/>
    <w:rsid w:val="00F35BB5"/>
    <w:rsid w:val="00F6771C"/>
    <w:rsid w:val="00F72983"/>
    <w:rsid w:val="00FC0CFC"/>
    <w:rsid w:val="00FF6F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05FA91"/>
  <w15:chartTrackingRefBased/>
  <w15:docId w15:val="{FFF77312-46C4-D045-A2FD-4916CAB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3E72"/>
    <w:pPr>
      <w:spacing w:after="160" w:line="259" w:lineRule="auto"/>
    </w:pPr>
    <w:rPr>
      <w:rFonts w:ascii="Calibri" w:eastAsia="Calibri" w:hAnsi="Calibri" w:cs="Calibri"/>
      <w:kern w:val="0"/>
      <w:sz w:val="22"/>
      <w:szCs w:val="22"/>
      <w:lang w:val="it" w:eastAsia="it-IT"/>
      <w14:ligatures w14:val="none"/>
    </w:rPr>
  </w:style>
  <w:style w:type="paragraph" w:styleId="Titolo1">
    <w:name w:val="heading 1"/>
    <w:basedOn w:val="Normale"/>
    <w:next w:val="Normale"/>
    <w:link w:val="Titolo1Carattere"/>
    <w:uiPriority w:val="9"/>
    <w:qFormat/>
    <w:rsid w:val="0079697F"/>
    <w:pPr>
      <w:keepNext/>
      <w:keepLines/>
      <w:spacing w:before="360" w:after="80" w:line="240"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unhideWhenUsed/>
    <w:qFormat/>
    <w:rsid w:val="0079697F"/>
    <w:pPr>
      <w:keepNext/>
      <w:keepLines/>
      <w:spacing w:before="160" w:after="80" w:line="240"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79697F"/>
    <w:pPr>
      <w:keepNext/>
      <w:keepLines/>
      <w:spacing w:before="160" w:after="80" w:line="240"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7969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969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9697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9697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9697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9697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969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7969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969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969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969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969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969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969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969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79697F"/>
    <w:pPr>
      <w:spacing w:after="80" w:line="240" w:lineRule="auto"/>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7969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9697F"/>
    <w:pPr>
      <w:numPr>
        <w:ilvl w:val="1"/>
      </w:numPr>
      <w:spacing w:line="240"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7969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9697F"/>
    <w:pPr>
      <w:spacing w:before="160" w:line="240"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79697F"/>
    <w:rPr>
      <w:i/>
      <w:iCs/>
      <w:color w:val="404040" w:themeColor="text1" w:themeTint="BF"/>
    </w:rPr>
  </w:style>
  <w:style w:type="paragraph" w:styleId="Paragrafoelenco">
    <w:name w:val="List Paragraph"/>
    <w:basedOn w:val="Normale"/>
    <w:uiPriority w:val="34"/>
    <w:qFormat/>
    <w:rsid w:val="0079697F"/>
    <w:pPr>
      <w:spacing w:after="0" w:line="240"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79697F"/>
    <w:rPr>
      <w:i/>
      <w:iCs/>
      <w:color w:val="0F4761" w:themeColor="accent1" w:themeShade="BF"/>
    </w:rPr>
  </w:style>
  <w:style w:type="paragraph" w:styleId="Citazioneintensa">
    <w:name w:val="Intense Quote"/>
    <w:basedOn w:val="Normale"/>
    <w:next w:val="Normale"/>
    <w:link w:val="CitazioneintensaCarattere"/>
    <w:uiPriority w:val="30"/>
    <w:qFormat/>
    <w:rsid w:val="0079697F"/>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79697F"/>
    <w:rPr>
      <w:i/>
      <w:iCs/>
      <w:color w:val="0F4761" w:themeColor="accent1" w:themeShade="BF"/>
    </w:rPr>
  </w:style>
  <w:style w:type="character" w:styleId="Riferimentointenso">
    <w:name w:val="Intense Reference"/>
    <w:basedOn w:val="Carpredefinitoparagrafo"/>
    <w:uiPriority w:val="32"/>
    <w:qFormat/>
    <w:rsid w:val="0079697F"/>
    <w:rPr>
      <w:b/>
      <w:bCs/>
      <w:smallCaps/>
      <w:color w:val="0F4761" w:themeColor="accent1" w:themeShade="BF"/>
      <w:spacing w:val="5"/>
    </w:rPr>
  </w:style>
  <w:style w:type="paragraph" w:styleId="Intestazione">
    <w:name w:val="header"/>
    <w:basedOn w:val="Normale"/>
    <w:link w:val="IntestazioneCarattere"/>
    <w:uiPriority w:val="99"/>
    <w:unhideWhenUsed/>
    <w:rsid w:val="0079697F"/>
    <w:pPr>
      <w:tabs>
        <w:tab w:val="center" w:pos="4819"/>
        <w:tab w:val="right" w:pos="9638"/>
      </w:tabs>
      <w:spacing w:after="0" w:line="240" w:lineRule="auto"/>
    </w:pPr>
    <w:rPr>
      <w:rFonts w:asciiTheme="minorHAnsi" w:eastAsiaTheme="minorHAnsi" w:hAnsiTheme="minorHAnsi" w:cstheme="minorBidi"/>
      <w:kern w:val="2"/>
      <w:sz w:val="24"/>
      <w:szCs w:val="24"/>
      <w:lang w:val="it-IT" w:eastAsia="en-US"/>
      <w14:ligatures w14:val="standardContextual"/>
    </w:rPr>
  </w:style>
  <w:style w:type="character" w:customStyle="1" w:styleId="IntestazioneCarattere">
    <w:name w:val="Intestazione Carattere"/>
    <w:basedOn w:val="Carpredefinitoparagrafo"/>
    <w:link w:val="Intestazione"/>
    <w:uiPriority w:val="99"/>
    <w:rsid w:val="0079697F"/>
  </w:style>
  <w:style w:type="paragraph" w:styleId="Pidipagina">
    <w:name w:val="footer"/>
    <w:basedOn w:val="Normale"/>
    <w:link w:val="PidipaginaCarattere"/>
    <w:uiPriority w:val="99"/>
    <w:unhideWhenUsed/>
    <w:rsid w:val="0079697F"/>
    <w:pPr>
      <w:tabs>
        <w:tab w:val="center" w:pos="4819"/>
        <w:tab w:val="right" w:pos="9638"/>
      </w:tabs>
    </w:pPr>
  </w:style>
  <w:style w:type="character" w:customStyle="1" w:styleId="PidipaginaCarattere">
    <w:name w:val="Piè di pagina Carattere"/>
    <w:basedOn w:val="Carpredefinitoparagrafo"/>
    <w:link w:val="Pidipagina"/>
    <w:uiPriority w:val="99"/>
    <w:rsid w:val="0079697F"/>
  </w:style>
  <w:style w:type="paragraph" w:styleId="Testonotaapidipagina">
    <w:name w:val="footnote text"/>
    <w:basedOn w:val="Normale"/>
    <w:link w:val="TestonotaapidipaginaCarattere"/>
    <w:uiPriority w:val="99"/>
    <w:unhideWhenUsed/>
    <w:rsid w:val="00F6771C"/>
    <w:pPr>
      <w:spacing w:after="0" w:line="240" w:lineRule="auto"/>
      <w:jc w:val="both"/>
    </w:pPr>
    <w:rPr>
      <w:rFonts w:ascii="Times New Roman" w:eastAsiaTheme="minorHAnsi" w:hAnsi="Times New Roman" w:cstheme="minorBidi"/>
      <w:sz w:val="18"/>
      <w:szCs w:val="20"/>
      <w:lang w:eastAsia="ja-JP"/>
    </w:rPr>
  </w:style>
  <w:style w:type="character" w:customStyle="1" w:styleId="TestonotaapidipaginaCarattere">
    <w:name w:val="Testo nota a piè di pagina Carattere"/>
    <w:basedOn w:val="Carpredefinitoparagrafo"/>
    <w:link w:val="Testonotaapidipagina"/>
    <w:uiPriority w:val="99"/>
    <w:rsid w:val="00F6771C"/>
    <w:rPr>
      <w:rFonts w:ascii="Times New Roman" w:hAnsi="Times New Roman"/>
      <w:kern w:val="0"/>
      <w:sz w:val="18"/>
      <w:szCs w:val="20"/>
      <w:lang w:val="it" w:eastAsia="ja-JP"/>
      <w14:ligatures w14:val="none"/>
    </w:rPr>
  </w:style>
  <w:style w:type="character" w:styleId="Rimandonotaapidipagina">
    <w:name w:val="footnote reference"/>
    <w:basedOn w:val="Carpredefinitoparagrafo"/>
    <w:uiPriority w:val="99"/>
    <w:semiHidden/>
    <w:unhideWhenUsed/>
    <w:rsid w:val="00F6771C"/>
    <w:rPr>
      <w:vertAlign w:val="superscript"/>
    </w:rPr>
  </w:style>
  <w:style w:type="table" w:styleId="Grigliatabella">
    <w:name w:val="Table Grid"/>
    <w:basedOn w:val="Tabellanormale"/>
    <w:uiPriority w:val="39"/>
    <w:rsid w:val="000B13C7"/>
    <w:rPr>
      <w:rFonts w:ascii="Calibri" w:eastAsia="Times New Roman" w:hAnsi="Calibri" w:cs="Times New Roman"/>
      <w:kern w:val="0"/>
      <w:sz w:val="20"/>
      <w:szCs w:val="20"/>
      <w:lang w:val="it"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styleId="Puntoelenco">
    <w:name w:val="List Bullet"/>
    <w:basedOn w:val="Normale"/>
    <w:uiPriority w:val="9"/>
    <w:qFormat/>
    <w:rsid w:val="000B13C7"/>
    <w:pPr>
      <w:numPr>
        <w:numId w:val="3"/>
      </w:numPr>
      <w:tabs>
        <w:tab w:val="clear" w:pos="360"/>
        <w:tab w:val="num" w:pos="432"/>
      </w:tabs>
      <w:spacing w:before="120" w:after="120" w:line="240" w:lineRule="auto"/>
      <w:ind w:left="0" w:firstLine="0"/>
      <w:contextualSpacing/>
      <w:jc w:val="both"/>
    </w:pPr>
    <w:rPr>
      <w:rFonts w:ascii="Times New Roman" w:eastAsiaTheme="minorHAnsi" w:hAnsi="Times New Roman" w:cstheme="minorBidi"/>
      <w:szCs w:val="30"/>
      <w:lang w:eastAsia="ja-JP"/>
    </w:rPr>
  </w:style>
  <w:style w:type="paragraph" w:styleId="Didascalia">
    <w:name w:val="caption"/>
    <w:basedOn w:val="Normale"/>
    <w:next w:val="Normale"/>
    <w:uiPriority w:val="35"/>
    <w:unhideWhenUsed/>
    <w:qFormat/>
    <w:rsid w:val="000B13C7"/>
    <w:pPr>
      <w:keepNext/>
      <w:spacing w:before="240" w:after="0" w:line="240" w:lineRule="auto"/>
      <w:jc w:val="both"/>
    </w:pPr>
    <w:rPr>
      <w:rFonts w:ascii="Times New Roman" w:eastAsiaTheme="minorHAnsi" w:hAnsi="Times New Roman" w:cstheme="minorBidi"/>
      <w:i/>
      <w:iCs/>
      <w:sz w:val="20"/>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1023</Words>
  <Characters>5832</Characters>
  <Application>Microsoft Office Word</Application>
  <DocSecurity>0</DocSecurity>
  <Lines>48</Lines>
  <Paragraphs>13</Paragraphs>
  <ScaleCrop>false</ScaleCrop>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corradodecristofaro0@gmail.com</dc:creator>
  <cp:keywords/>
  <dc:description/>
  <cp:lastModifiedBy>corradodecristofaro0@gmail.com</cp:lastModifiedBy>
  <cp:revision>14</cp:revision>
  <dcterms:created xsi:type="dcterms:W3CDTF">2025-09-29T20:31:00Z</dcterms:created>
  <dcterms:modified xsi:type="dcterms:W3CDTF">2025-09-30T07:33:00Z</dcterms:modified>
</cp:coreProperties>
</file>