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52C8" w14:textId="77777777" w:rsidR="00B63973" w:rsidRDefault="00B63973" w:rsidP="00B63973">
      <w:pPr>
        <w:tabs>
          <w:tab w:val="num" w:pos="360"/>
        </w:tabs>
      </w:pPr>
      <w:bookmarkStart w:id="0" w:name="_Toc187013357"/>
      <w:bookmarkStart w:id="1" w:name="_Toc188269384"/>
      <w:bookmarkStart w:id="2" w:name="_Toc188282645"/>
      <w:bookmarkStart w:id="3" w:name="_Toc188282640"/>
      <w:bookmarkStart w:id="4" w:name="_Toc188282639"/>
    </w:p>
    <w:p w14:paraId="7AC40E91" w14:textId="77777777" w:rsidR="007869FB" w:rsidRDefault="007869FB" w:rsidP="007869FB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5" w:name="_Toc188282647"/>
      <w:bookmarkEnd w:id="0"/>
      <w:bookmarkEnd w:id="1"/>
      <w:bookmarkEnd w:id="2"/>
      <w:bookmarkEnd w:id="3"/>
      <w:bookmarkEnd w:id="4"/>
      <w:r w:rsidRPr="007869FB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Condizioni di salute</w:t>
      </w:r>
      <w:bookmarkEnd w:id="5"/>
    </w:p>
    <w:p w14:paraId="1B7C29A5" w14:textId="77777777" w:rsidR="007869FB" w:rsidRPr="007869FB" w:rsidRDefault="007869FB" w:rsidP="007869FB">
      <w:pPr>
        <w:rPr>
          <w:lang w:val="en-GB" w:eastAsia="en-US"/>
        </w:rPr>
      </w:pPr>
    </w:p>
    <w:p w14:paraId="4E6FB83A" w14:textId="77777777" w:rsidR="007869FB" w:rsidRPr="008B346E" w:rsidRDefault="007869FB" w:rsidP="007869F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La salute è uno dei principali fattori che influenzano la partecipazione degli anziani alla vita economica e sociale. Nel contesto dell'economia della longevità, garantire una vita lunga e sana per tutti rappresenta l' obiettivo finale dell'economia stessa. Dal punto di vista del mercato dell'argento, tuttavia, una buona salute è il prerequisito essenziale per la partecipazione attiva sia al consumo che alla produzione di beni e servizi. Allo stesso tempo, condizioni di malattia o disagio fisico e mentale generano una domanda di servizi sanitari e di assistenza sociale, che può essere soddisfatta attraverso l'assistenza pubblica, il mercato privato e l'economia sociale. Pertanto, descrivere la struttura della popolazione, e in particolare quella anziana, in base allo stato di salute è fondamentale per studiare la silver economy.</w:t>
      </w:r>
    </w:p>
    <w:p w14:paraId="2EFB641C" w14:textId="77777777" w:rsidR="007869FB" w:rsidRPr="008B346E" w:rsidRDefault="007869FB" w:rsidP="007869F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L'AAI include alcuni indicatori che riguardano direttamente o indirettamente lo stato di salute degli individui. All'interno del dominio "Vita indipendente, sana e sicura", troviamo gli indicatori "Esercizio fisico" e "Accesso ai servizi sanitari", quest'ultimo relativo al soddisfacimento dei bisogni di assistenza sanitaria. Nel dominio "Capacità e ambiente favorevole all'invecchiamento attivo", sono presenti due variabili chiave relative all'aspettativa di vita e all'aspettativa di vita in buona salute a 55 anni, nonché un indicatore sul "Benessere mentale", basato sulla percezione soggettiva. Ulteriori dati relativi al contesto italiano possono essere ricavati da fonti statistiche basate su censimenti, indagini e dati amministrativi.</w:t>
      </w:r>
    </w:p>
    <w:p w14:paraId="7D3C543E" w14:textId="4B61541D" w:rsidR="007869FB" w:rsidRPr="008B346E" w:rsidRDefault="007869FB" w:rsidP="007869F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È particolarmente importante migliorare la nostra comprensione dell'autonomia delle persone anziane attraverso l'analisi dei dati. Date le difficoltà nel fornire una definizione operativa diretta e precisa di non autosufficienza o fragilità (Centro Studi e Ricerche Itinerari Previdenziali , 2022), un approccio comune utilizzato nelle indagini ISTAT ed Eurostat è la valutazione delle limitazioni funzionali. Questo metodo prevede la definizione di un elenco di attività relative alla cura di sé o alla gestione della propria casa – compiti che una persona con piena autonomia dovrebbe generalmente svolgere – e la valutazione della capacità dell'individuo di completarli in modo indipendente. Questo approccio funge da misura indiretta ma pratica per valutare i livelli di autonomia e identificare le aree in cui potrebbe essere necessario un supporto. La letteratura e la ricerca sulle limitazioni funzionali hanno sviluppato due elenchi standard di attività: le ADL (Attività della Vita Quotidiana) e le IADL (Attività Strumentali della Vita Quotidiana). Le ADL si riferiscono a compiti di base per la cura di sé come mangiare, lavarsi, vestirsi e muoversi, che sono essenziali per l'indipendenza personale. Le IADL, invece, riguardano attività più complesse necessarie per una vita indipendente, come la gestione delle finanze, la preparazione dei pasti, la spesa e la gestione dei trasporti. In base al numero di ADL o IADL che una persona è in grado di svolgere, è possibile distinguere tra autosufficienza, parziale e grave non autosufficienza (ISTAT, 2021). Alcune fonti definiscono una persona disabile se presenta gravi limitazioni funzionali nelle ADL, mentre una persona che non è disabile ma ha difficoltà nelle IADL è considerata fragile (Contoli et al., 2016). Una volta stabilito un criterio per definire gli individui con disabilità, fragilità o non autosufficienza, possono essere sviluppati vari indicatori demografici.</w:t>
      </w:r>
    </w:p>
    <w:p w14:paraId="0E78D912" w14:textId="77777777" w:rsidR="007869FB" w:rsidRPr="008B346E" w:rsidRDefault="007869FB" w:rsidP="007869F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La tabella seguente presenta diversi indicatori, insieme alle rispettive fonti, che possono essere raccolti per la popolazione anziana, nonché disaggregati per genere e altre caratteristiche rilevanti, descrivendo le condizioni di salute della popolazione italiana ai fini del progetto EDASE.</w:t>
      </w:r>
    </w:p>
    <w:p w14:paraId="4D2C3578" w14:textId="77777777" w:rsidR="007869FB" w:rsidRPr="008B346E" w:rsidRDefault="007869FB" w:rsidP="007869FB">
      <w:pPr>
        <w:pStyle w:val="Didascalia"/>
        <w:rPr>
          <w:rFonts w:ascii="Poppins" w:hAnsi="Poppins" w:cs="Poppins"/>
          <w:szCs w:val="20"/>
          <w:lang w:val="en-GB"/>
        </w:rPr>
      </w:pPr>
      <w:r w:rsidRPr="008B346E">
        <w:rPr>
          <w:rFonts w:ascii="Poppins" w:hAnsi="Poppins" w:cs="Poppins"/>
          <w:szCs w:val="20"/>
          <w:lang w:val="en-GB"/>
        </w:rPr>
        <w:t xml:space="preserve">Tabella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10 </w:t>
      </w:r>
      <w:r w:rsidRPr="008B346E">
        <w:rPr>
          <w:rFonts w:ascii="Poppins" w:hAnsi="Poppins" w:cs="Poppins"/>
          <w:szCs w:val="20"/>
          <w:lang w:val="en-GB"/>
        </w:rPr>
        <w:t>- Indicatori delle condizioni di salute.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04"/>
        <w:gridCol w:w="6824"/>
      </w:tblGrid>
      <w:tr w:rsidR="007869FB" w:rsidRPr="008B346E" w14:paraId="466253AC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40C23B2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Indicatore o classe di indicatori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C23B1B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 e fonte</w:t>
            </w:r>
          </w:p>
        </w:tc>
      </w:tr>
      <w:tr w:rsidR="007869FB" w:rsidRPr="008B346E" w14:paraId="7DCE30A1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4530D7A8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Dimensione: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stato di salute della popolazione</w:t>
            </w:r>
          </w:p>
        </w:tc>
      </w:tr>
      <w:tr w:rsidR="007869FB" w:rsidRPr="008B346E" w14:paraId="3E33B4C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A2C8034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 di vita sana (HALE) (alla nascita e a età specifiche)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3F4480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Numero medio di anni che una persona può aspettarsi di vivere in piena salute (senza essere ostacolata da malattie o infortuni invalidanti).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 Tavole di mortalità Istat ed Eurostat.</w:t>
            </w:r>
          </w:p>
        </w:tc>
      </w:tr>
      <w:tr w:rsidR="007869FB" w:rsidRPr="008B346E" w14:paraId="7AED3CD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60AAD456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mortalità evitabile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A0E13A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Percentuale di decessi, per fascia d'età, che potrebbero essere prevenuti attraverso misure di sanità pubblica (prevenibili) o un'assistenza sanitaria tempestiva (trattabili), sulla base delle attuali conoscenze mediche.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Fonte: MEVi.</w:t>
            </w:r>
          </w:p>
        </w:tc>
      </w:tr>
      <w:tr w:rsidR="007869FB" w:rsidRPr="008B346E" w14:paraId="65F00CF5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A431A74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Sovrappeso o obesità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5AD025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della popolazione anziana con un Indice di Massa Corporea superiore alla soglia definita per sovrappeso o obesità. Fonte: Istat -ADL; EHIS.</w:t>
            </w:r>
          </w:p>
        </w:tc>
      </w:tr>
      <w:tr w:rsidR="007869FB" w:rsidRPr="008B346E" w14:paraId="0EF7DFBB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452DF409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Dimensione: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limitazioni funzionali e dipendenza</w:t>
            </w:r>
          </w:p>
        </w:tc>
      </w:tr>
      <w:tr w:rsidR="007869FB" w:rsidRPr="008B346E" w14:paraId="586E567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64EAFF8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Tasso di invalidità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C1AF49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della popolazione che vive con una disabilità, classificata in base al livello di gravità e distinguendo tra disabilità motorie e sensoriali (auto-riportate). Fonte: EHIS; INIH-SS.</w:t>
            </w:r>
          </w:p>
        </w:tc>
      </w:tr>
      <w:tr w:rsidR="007869FB" w:rsidRPr="008B346E" w14:paraId="5CAC1BB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BF7EFFF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color w:val="000000"/>
                <w:lang w:val="en-GB"/>
              </w:rPr>
              <w:t>Rapporto di dipendenza dalla disabilità degli adulti (ADDR)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1BEB82C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Numero di adulti (anziani) con disabilità rispetto alla popolazione della stessa fascia d'età senza disabilità. Riferimento: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Sanderson &amp; Scherbov (2010) </w:t>
            </w:r>
            <w:r w:rsidRPr="008B346E">
              <w:rPr>
                <w:rFonts w:ascii="Poppins" w:hAnsi="Poppins" w:cs="Poppins"/>
                <w:lang w:val="en-GB"/>
              </w:rPr>
              <w:t>. Fonte: EHIS.</w:t>
            </w:r>
          </w:p>
        </w:tc>
      </w:tr>
      <w:tr w:rsidR="007869FB" w:rsidRPr="008B346E" w14:paraId="0FCBD806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1B124DC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 reale di dipendenza dalla disabilità degli adulti (RADDR)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DFE7C9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Numero di adulti (anziani) con disabilità rispetto alla popolazione con un impiego retribuito. Riferimento: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Spijker (2015). Fonte: </w:t>
            </w:r>
            <w:r w:rsidRPr="008B346E">
              <w:rPr>
                <w:rFonts w:ascii="Poppins" w:hAnsi="Poppins" w:cs="Poppins"/>
                <w:lang w:val="en-GB"/>
              </w:rPr>
              <w:t>EHIS; UE-LFS</w:t>
            </w:r>
          </w:p>
        </w:tc>
      </w:tr>
      <w:tr w:rsidR="007869FB" w:rsidRPr="008B346E" w14:paraId="04670EDD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A2B1508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Rapporto reale di dipendenza dalla disabilità degli anziani (REDDR)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1D285E3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Numero di persone RLE15– rispetto alla popolazione con un impiego retribuito. Riferimento: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Spijker (2015) </w:t>
            </w:r>
            <w:r w:rsidRPr="008B346E">
              <w:rPr>
                <w:rStyle w:val="Rimandonotaapidipagina"/>
                <w:rFonts w:ascii="Poppins" w:hAnsi="Poppins" w:cs="Poppins"/>
                <w:color w:val="000000"/>
                <w:lang w:val="en-GB"/>
              </w:rPr>
              <w:footnoteReference w:id="1"/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. Fonte: </w:t>
            </w:r>
            <w:r w:rsidRPr="008B346E">
              <w:rPr>
                <w:rFonts w:ascii="Poppins" w:hAnsi="Poppins" w:cs="Poppins"/>
                <w:lang w:val="en-GB"/>
              </w:rPr>
              <w:t>Istat e Eurostat, tavole di mortalità; UE-LFS.</w:t>
            </w:r>
          </w:p>
        </w:tc>
      </w:tr>
      <w:tr w:rsidR="007869FB" w:rsidRPr="008B346E" w14:paraId="1DCE8CA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00B1ED03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Malattie croniche e morbilità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DE4374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quota della popolazione affetta da una o più malattie croniche, come diabete, malattie cardiovascolari o artrite (auto-riportata).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 EHIS; INIH-SS; EU-SILC.</w:t>
            </w:r>
          </w:p>
        </w:tc>
      </w:tr>
      <w:tr w:rsidR="007869FB" w:rsidRPr="008B346E" w14:paraId="05AF45D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7F64347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Tasso di limitazione funzionale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7FAA25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Percentuale di persone che segnalano difficoltà nello svolgimento delle attività quotidiane, suddivise in ADL e IADL.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 EHIS; INIH-SS.</w:t>
            </w:r>
          </w:p>
        </w:tc>
      </w:tr>
      <w:tr w:rsidR="007869FB" w:rsidRPr="008B346E" w14:paraId="134B4FCC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30179210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Dimensione: benessere fisico e mentale auto-riportato</w:t>
            </w:r>
          </w:p>
        </w:tc>
      </w:tr>
      <w:tr w:rsidR="007869FB" w:rsidRPr="008B346E" w14:paraId="1F46D47E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B4112BC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Salute generale autopercepita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789708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Stato di salute autovalutato dagli intervistati (anziani), classificato come molto buono, buono, discreto, cattivo o molto cattivo. Fonte: EHIS; EU-SILC; INIH-SS.</w:t>
            </w:r>
          </w:p>
        </w:tc>
      </w:tr>
      <w:tr w:rsidR="007869FB" w:rsidRPr="008B346E" w14:paraId="7E6D763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B529D4B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Problema di salute di lunga data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B6936F1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EHIS.</w:t>
            </w:r>
          </w:p>
        </w:tc>
      </w:tr>
      <w:tr w:rsidR="007869FB" w:rsidRPr="008B346E" w14:paraId="6076B1F1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85D24CD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Limitazione delle attività a causa di problemi di salute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599A06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Stato di salute autovalutato dagli intervistati (anziani), classificato come gravemente limitato, limitato ma non gravemente, per niente limitato. Fonte: EHIS.</w:t>
            </w:r>
          </w:p>
        </w:tc>
      </w:tr>
      <w:tr w:rsidR="007869FB" w:rsidRPr="008B346E" w14:paraId="575AD06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4955B9E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Dolore fisico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E899E9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di intervistati (anziani) che hanno provato dolore fisico (nelle 4 settimane precedenti l'intervista) in base all'intensità del dolore e alla misura in cui il dolore interferiva con il normale lavoro.</w:t>
            </w:r>
          </w:p>
          <w:p w14:paraId="66654D7E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Fonte </w:t>
            </w:r>
            <w:r w:rsidRPr="008B346E">
              <w:rPr>
                <w:rFonts w:ascii="Poppins" w:hAnsi="Poppins" w:cs="Poppins"/>
                <w:lang w:val="en-GB"/>
              </w:rPr>
              <w:t>: EHIS.</w:t>
            </w:r>
          </w:p>
        </w:tc>
      </w:tr>
      <w:tr w:rsidR="007869FB" w:rsidRPr="008B346E" w14:paraId="690CA5E4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1FA2CBA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Benessere mentale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92BA95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Quota di intervistati (anziani) che segnalano elevati livelli di disagio psicologico o condizioni come ansia e depressione. Fonte: Istat -ADL. INIH-SS.</w:t>
            </w:r>
          </w:p>
        </w:tc>
      </w:tr>
      <w:tr w:rsidR="007869FB" w:rsidRPr="008B346E" w14:paraId="64E16CA4" w14:textId="77777777" w:rsidTr="00B74592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25450BC6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Dimensione </w:t>
            </w:r>
            <w:r w:rsidRPr="008B346E">
              <w:rPr>
                <w:rFonts w:ascii="Poppins" w:hAnsi="Poppins" w:cs="Poppins"/>
                <w:b/>
                <w:bCs/>
                <w:i/>
                <w:iCs/>
                <w:lang w:val="en-GB"/>
              </w:rPr>
              <w:t>: abitudini sane e rischiose</w:t>
            </w:r>
          </w:p>
        </w:tc>
      </w:tr>
      <w:tr w:rsidR="007869FB" w:rsidRPr="008B346E" w14:paraId="02B0DA2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3711B4E2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Attività fisica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550BC2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di persone (anziane) che dedicano almeno tre ore alla settimana ad attività fisica al di fuori del lavoro. Fonte: EU-SILC.</w:t>
            </w:r>
          </w:p>
        </w:tc>
      </w:tr>
      <w:tr w:rsidR="007869FB" w:rsidRPr="008B346E" w14:paraId="67F874C0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55AE11B6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Mangiare verdure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1EA6384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di persone (anziane) che mangiano verdura ogni giorno. Fonte: EU-SILC.</w:t>
            </w:r>
          </w:p>
        </w:tc>
      </w:tr>
      <w:tr w:rsidR="007869FB" w:rsidRPr="008B346E" w14:paraId="56551E09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41A3D3A0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Mangiare frutta fresca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FA6DDA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Percentuale di persone (anziane) che mangiano frutta fresca ogni giorno. Fonte: EU-SILC.</w:t>
            </w:r>
          </w:p>
        </w:tc>
      </w:tr>
      <w:tr w:rsidR="007869FB" w:rsidRPr="008B346E" w14:paraId="32B8D9C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1A6E10F2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Comportamento rischioso nel consumo di alcol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B8CC6F2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Quota di persone (anziane) che superano i livelli raccomandati di consumo di alcol. Fonte: Istat -ADL; EU-SILC.</w:t>
            </w:r>
          </w:p>
        </w:tc>
      </w:tr>
      <w:tr w:rsidR="007869FB" w:rsidRPr="008B346E" w14:paraId="09374747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7887730B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Abitudini di fumo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555F55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Fonte: Istat -ADL; INIH-SS; UE-SILC.</w:t>
            </w:r>
          </w:p>
        </w:tc>
      </w:tr>
      <w:tr w:rsidR="007869FB" w:rsidRPr="008B346E" w14:paraId="65F5268B" w14:textId="77777777" w:rsidTr="00B74592">
        <w:tc>
          <w:tcPr>
            <w:tcW w:w="0" w:type="auto"/>
            <w:tcMar>
              <w:left w:w="28" w:type="dxa"/>
              <w:right w:w="28" w:type="dxa"/>
            </w:tcMar>
          </w:tcPr>
          <w:p w14:paraId="28B62AF6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>Comportamento sedentario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9AF3BC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Quota di persone (anziane) sedentarie. L'ISTAT considera sedentari gli intervistati che dichiarano di non praticare sport (né regolarmente né occasionalmente) o alcuna attività fisica, come camminare per almeno 2 km, nuotare o andare in bicicletta, nel tempo libero. Fonte: Istat -ADL.</w:t>
            </w:r>
          </w:p>
          <w:p w14:paraId="2685615E" w14:textId="77777777" w:rsidR="007869FB" w:rsidRPr="008B346E" w:rsidRDefault="007869F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L'INIH valuta l'attività fisica tra gli over 65 utilizzando la PASE (Physical Activity Scale for the Elderly), uno strumento validato a livello internazionale che valuta tutti i tipi di attività, tra cui tempo libero, attività domestiche, assistenza e lavoro non sedentario, in base alla frequenza, all'intensità e al tempo trascorso negli ultimi 7 giorni. Fonte: INIH-SS.</w:t>
            </w:r>
          </w:p>
        </w:tc>
      </w:tr>
    </w:tbl>
    <w:p w14:paraId="08D482B5" w14:textId="77777777" w:rsidR="007869FB" w:rsidRPr="008B346E" w:rsidRDefault="007869FB" w:rsidP="007869FB">
      <w:pPr>
        <w:pStyle w:val="Titolo2"/>
        <w:ind w:left="1080"/>
        <w:rPr>
          <w:lang w:val="en-GB"/>
        </w:rPr>
      </w:pPr>
    </w:p>
    <w:p w14:paraId="208FB197" w14:textId="77777777" w:rsidR="00D429B3" w:rsidRDefault="00D429B3" w:rsidP="00D429B3">
      <w:pPr>
        <w:rPr>
          <w:lang w:val="en-GB" w:eastAsia="en-US"/>
        </w:rPr>
      </w:pPr>
    </w:p>
    <w:p w14:paraId="6DEE28A1" w14:textId="77777777" w:rsidR="00D429B3" w:rsidRDefault="00D429B3" w:rsidP="00D429B3">
      <w:pPr>
        <w:rPr>
          <w:lang w:val="en-GB" w:eastAsia="en-US"/>
        </w:rPr>
      </w:pPr>
    </w:p>
    <w:p w14:paraId="75D26114" w14:textId="77777777" w:rsidR="00D429B3" w:rsidRDefault="00D429B3" w:rsidP="00D429B3">
      <w:pPr>
        <w:rPr>
          <w:lang w:val="en-GB" w:eastAsia="en-US"/>
        </w:rPr>
      </w:pPr>
    </w:p>
    <w:p w14:paraId="02BEB77B" w14:textId="77777777" w:rsidR="00D429B3" w:rsidRDefault="00D429B3" w:rsidP="00D429B3">
      <w:pPr>
        <w:rPr>
          <w:lang w:val="en-GB" w:eastAsia="en-US"/>
        </w:rPr>
      </w:pPr>
    </w:p>
    <w:p w14:paraId="10C8B0C6" w14:textId="77777777" w:rsidR="00D429B3" w:rsidRDefault="00D429B3" w:rsidP="00D429B3">
      <w:pPr>
        <w:rPr>
          <w:lang w:val="en-GB" w:eastAsia="en-US"/>
        </w:rPr>
      </w:pPr>
    </w:p>
    <w:p w14:paraId="6A6522BA" w14:textId="77777777" w:rsidR="00D429B3" w:rsidRDefault="00D429B3" w:rsidP="00D429B3">
      <w:pPr>
        <w:rPr>
          <w:lang w:val="en-GB" w:eastAsia="en-US"/>
        </w:rPr>
      </w:pPr>
    </w:p>
    <w:p w14:paraId="1ADBBB66" w14:textId="77777777" w:rsidR="00D429B3" w:rsidRDefault="00D429B3" w:rsidP="00D429B3">
      <w:pPr>
        <w:rPr>
          <w:lang w:val="en-GB" w:eastAsia="en-US"/>
        </w:rPr>
      </w:pPr>
    </w:p>
    <w:p w14:paraId="71F7BEAD" w14:textId="77777777" w:rsidR="00D429B3" w:rsidRDefault="00D429B3" w:rsidP="00D429B3">
      <w:pPr>
        <w:rPr>
          <w:lang w:val="en-GB" w:eastAsia="en-US"/>
        </w:rPr>
      </w:pPr>
    </w:p>
    <w:p w14:paraId="637313BF" w14:textId="77777777" w:rsidR="00D429B3" w:rsidRDefault="00D429B3" w:rsidP="00D429B3">
      <w:pPr>
        <w:rPr>
          <w:lang w:val="en-GB" w:eastAsia="en-US"/>
        </w:rPr>
      </w:pPr>
    </w:p>
    <w:p w14:paraId="58BF7FC4" w14:textId="77777777" w:rsidR="00D429B3" w:rsidRDefault="00D429B3" w:rsidP="00D429B3">
      <w:pPr>
        <w:rPr>
          <w:lang w:val="en-GB" w:eastAsia="en-US"/>
        </w:rPr>
      </w:pPr>
    </w:p>
    <w:p w14:paraId="10F2A166" w14:textId="77777777" w:rsidR="00D429B3" w:rsidRDefault="00D429B3" w:rsidP="00D429B3">
      <w:pPr>
        <w:rPr>
          <w:lang w:val="en-GB" w:eastAsia="en-US"/>
        </w:rPr>
      </w:pPr>
    </w:p>
    <w:p w14:paraId="2D10A58D" w14:textId="77777777" w:rsidR="00D429B3" w:rsidRDefault="00D429B3" w:rsidP="00D429B3">
      <w:pPr>
        <w:rPr>
          <w:lang w:val="en-GB" w:eastAsia="en-US"/>
        </w:rPr>
      </w:pPr>
    </w:p>
    <w:p w14:paraId="448F8165" w14:textId="77777777" w:rsidR="00D429B3" w:rsidRDefault="00D429B3" w:rsidP="00D429B3">
      <w:pPr>
        <w:rPr>
          <w:lang w:val="en-GB" w:eastAsia="en-US"/>
        </w:rPr>
      </w:pPr>
    </w:p>
    <w:p w14:paraId="2254FFCE" w14:textId="77777777" w:rsidR="00D429B3" w:rsidRDefault="00D429B3" w:rsidP="00D429B3">
      <w:pPr>
        <w:rPr>
          <w:lang w:val="en-GB" w:eastAsia="en-US"/>
        </w:rPr>
      </w:pPr>
    </w:p>
    <w:p w14:paraId="683EC83B" w14:textId="5370DC67" w:rsidR="00D429B3" w:rsidRDefault="00D429B3" w:rsidP="00D429B3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  <w:r w:rsidRPr="00D429B3">
        <w:rPr>
          <w:rFonts w:ascii="Poppins" w:hAnsi="Poppins" w:cs="Poppins"/>
          <w:b/>
          <w:bCs/>
          <w:sz w:val="24"/>
          <w:szCs w:val="24"/>
          <w:lang w:val="en-GB" w:eastAsia="en-US"/>
        </w:rPr>
        <w:t>Bibliografia</w:t>
      </w:r>
    </w:p>
    <w:p w14:paraId="283DD98D" w14:textId="77777777" w:rsidR="00D429B3" w:rsidRPr="008B346E" w:rsidRDefault="00D429B3" w:rsidP="00D429B3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Contoli, B., Carrieri, P., Masocco, M., Penna, L., Perra, A., &amp; PDA Study Group. (2016). PASSI d’Argento (Silver Steps): the main features of the new nationwide surveillance system for the ageing Italian population, Italy 2013-2014.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Ann Ist Super Sanità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52</w:t>
      </w:r>
      <w:r w:rsidRPr="008B346E">
        <w:rPr>
          <w:rFonts w:ascii="Poppins" w:hAnsi="Poppins" w:cs="Poppins"/>
          <w:sz w:val="20"/>
          <w:szCs w:val="20"/>
          <w:lang w:val="en-GB"/>
        </w:rPr>
        <w:t>(4), 536–542.</w:t>
      </w:r>
    </w:p>
    <w:p w14:paraId="2089BEAB" w14:textId="77777777" w:rsidR="00D429B3" w:rsidRPr="00D429B3" w:rsidRDefault="00D429B3" w:rsidP="00D429B3">
      <w:pPr>
        <w:rPr>
          <w:rFonts w:ascii="Poppins" w:hAnsi="Poppins" w:cs="Poppins"/>
          <w:b/>
          <w:bCs/>
          <w:sz w:val="24"/>
          <w:szCs w:val="24"/>
          <w:lang w:val="en-GB" w:eastAsia="en-US"/>
        </w:rPr>
      </w:pPr>
    </w:p>
    <w:sectPr w:rsidR="00D429B3" w:rsidRPr="00D429B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BCDE" w14:textId="77777777" w:rsidR="00C44A12" w:rsidRDefault="00C44A12" w:rsidP="0079697F">
      <w:r>
        <w:separator/>
      </w:r>
    </w:p>
  </w:endnote>
  <w:endnote w:type="continuationSeparator" w:id="0">
    <w:p w14:paraId="32B4E8B1" w14:textId="77777777" w:rsidR="00C44A12" w:rsidRDefault="00C44A12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8E34" w14:textId="77777777" w:rsidR="00C44A12" w:rsidRDefault="00C44A12" w:rsidP="0079697F">
      <w:r>
        <w:separator/>
      </w:r>
    </w:p>
  </w:footnote>
  <w:footnote w:type="continuationSeparator" w:id="0">
    <w:p w14:paraId="3B4E1432" w14:textId="77777777" w:rsidR="00C44A12" w:rsidRDefault="00C44A12" w:rsidP="0079697F">
      <w:r>
        <w:continuationSeparator/>
      </w:r>
    </w:p>
  </w:footnote>
  <w:footnote w:id="1">
    <w:p w14:paraId="5BA715EC" w14:textId="77777777" w:rsidR="007869FB" w:rsidRPr="00113377" w:rsidRDefault="007869FB" w:rsidP="007869FB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>In alcune statistiche retrospettive, il tempo necessario alla morte (TTD), ovvero il numero di individui deceduti entro un certo numero di anni dalla data di riferimento, viene utilizzato in alternativa o in combinazione con l'aspettativa di vita residua (RLE) (Spijker, 2015).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906CDF"/>
    <w:multiLevelType w:val="hybridMultilevel"/>
    <w:tmpl w:val="2C203A5E"/>
    <w:lvl w:ilvl="0" w:tplc="A47C97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12C33"/>
    <w:multiLevelType w:val="hybridMultilevel"/>
    <w:tmpl w:val="C3CE2B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4"/>
  </w:num>
  <w:num w:numId="2" w16cid:durableId="1784156693">
    <w:abstractNumId w:val="3"/>
  </w:num>
  <w:num w:numId="3" w16cid:durableId="728652233">
    <w:abstractNumId w:val="0"/>
  </w:num>
  <w:num w:numId="4" w16cid:durableId="830750631">
    <w:abstractNumId w:val="1"/>
  </w:num>
  <w:num w:numId="5" w16cid:durableId="84810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B13C7"/>
    <w:rsid w:val="001B3BE3"/>
    <w:rsid w:val="001F2272"/>
    <w:rsid w:val="00207AB3"/>
    <w:rsid w:val="002F6176"/>
    <w:rsid w:val="0040179F"/>
    <w:rsid w:val="004C207B"/>
    <w:rsid w:val="004F0188"/>
    <w:rsid w:val="005D01DF"/>
    <w:rsid w:val="00640CE0"/>
    <w:rsid w:val="007271A8"/>
    <w:rsid w:val="007657C5"/>
    <w:rsid w:val="00775CAA"/>
    <w:rsid w:val="007869FB"/>
    <w:rsid w:val="0079697F"/>
    <w:rsid w:val="00806D9D"/>
    <w:rsid w:val="00854359"/>
    <w:rsid w:val="008D1363"/>
    <w:rsid w:val="009770E2"/>
    <w:rsid w:val="009E1892"/>
    <w:rsid w:val="009E731E"/>
    <w:rsid w:val="00A0407F"/>
    <w:rsid w:val="00A42980"/>
    <w:rsid w:val="00A65CF0"/>
    <w:rsid w:val="00B63973"/>
    <w:rsid w:val="00B72DDC"/>
    <w:rsid w:val="00C44A12"/>
    <w:rsid w:val="00C72F59"/>
    <w:rsid w:val="00C875F3"/>
    <w:rsid w:val="00CF3DA8"/>
    <w:rsid w:val="00D429B3"/>
    <w:rsid w:val="00D42E8F"/>
    <w:rsid w:val="00D57771"/>
    <w:rsid w:val="00DA4184"/>
    <w:rsid w:val="00DB3E72"/>
    <w:rsid w:val="00EB31EA"/>
    <w:rsid w:val="00F12A1B"/>
    <w:rsid w:val="00F35BB5"/>
    <w:rsid w:val="00F6771C"/>
    <w:rsid w:val="00F72983"/>
    <w:rsid w:val="00FC0CFC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14</cp:revision>
  <dcterms:created xsi:type="dcterms:W3CDTF">2025-09-29T20:31:00Z</dcterms:created>
  <dcterms:modified xsi:type="dcterms:W3CDTF">2025-10-01T14:16:00Z</dcterms:modified>
</cp:coreProperties>
</file>