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952C8" w14:textId="77777777" w:rsidR="00B63973" w:rsidRDefault="00B63973" w:rsidP="00B63973">
      <w:pPr>
        <w:tabs>
          <w:tab w:val="num" w:pos="360"/>
        </w:tabs>
      </w:pPr>
      <w:bookmarkStart w:id="0" w:name="_Toc187013357"/>
      <w:bookmarkStart w:id="1" w:name="_Toc188269384"/>
      <w:bookmarkStart w:id="2" w:name="_Toc188282645"/>
      <w:bookmarkStart w:id="3" w:name="_Toc188282640"/>
      <w:bookmarkStart w:id="4" w:name="_Toc188282639"/>
    </w:p>
    <w:p w14:paraId="2D55EC9C" w14:textId="77777777" w:rsidR="00D42E8F" w:rsidRDefault="00D42E8F" w:rsidP="00D42E8F">
      <w:pPr>
        <w:pStyle w:val="Titolo2"/>
        <w:jc w:val="center"/>
        <w:rPr>
          <w:rFonts w:ascii="Poppins" w:hAnsi="Poppins" w:cs="Poppins"/>
          <w:color w:val="124F1A" w:themeColor="accent3" w:themeShade="BF"/>
          <w:sz w:val="36"/>
          <w:szCs w:val="36"/>
          <w:lang w:val="en-GB"/>
        </w:rPr>
      </w:pPr>
      <w:bookmarkStart w:id="5" w:name="_Toc188282646"/>
      <w:bookmarkEnd w:id="0"/>
      <w:bookmarkEnd w:id="1"/>
      <w:bookmarkEnd w:id="2"/>
      <w:bookmarkEnd w:id="3"/>
      <w:bookmarkEnd w:id="4"/>
      <w:r w:rsidRPr="00D42E8F">
        <w:rPr>
          <w:rFonts w:ascii="Poppins" w:hAnsi="Poppins" w:cs="Poppins"/>
          <w:color w:val="124F1A" w:themeColor="accent3" w:themeShade="BF"/>
          <w:sz w:val="36"/>
          <w:szCs w:val="36"/>
          <w:lang w:val="en-GB"/>
        </w:rPr>
        <w:t>Sicurezza finanziaria</w:t>
      </w:r>
      <w:bookmarkEnd w:id="5"/>
    </w:p>
    <w:p w14:paraId="67355A0D" w14:textId="77777777" w:rsidR="00D42E8F" w:rsidRPr="00D42E8F" w:rsidRDefault="00D42E8F" w:rsidP="00D42E8F">
      <w:pPr>
        <w:rPr>
          <w:lang w:val="en-GB" w:eastAsia="en-US"/>
        </w:rPr>
      </w:pPr>
    </w:p>
    <w:p w14:paraId="5462DADD" w14:textId="77777777" w:rsidR="00D42E8F" w:rsidRPr="008B346E" w:rsidRDefault="00D42E8F" w:rsidP="00D42E8F">
      <w:pPr>
        <w:jc w:val="both"/>
        <w:rPr>
          <w:rFonts w:ascii="Poppins" w:hAnsi="Poppins" w:cs="Poppins"/>
          <w:sz w:val="20"/>
          <w:szCs w:val="20"/>
          <w:lang w:val="en-GB"/>
        </w:rPr>
      </w:pPr>
      <w:r w:rsidRPr="008B346E">
        <w:rPr>
          <w:rFonts w:ascii="Poppins" w:hAnsi="Poppins" w:cs="Poppins"/>
          <w:sz w:val="20"/>
          <w:szCs w:val="20"/>
          <w:lang w:val="en-GB"/>
        </w:rPr>
        <w:t>Come evidenziato nel Capitolo 3, l'interesse per la silver economy è cresciuto nelle economie sviluppate grazie al potenziale di consumo della generazione dei baby boomer. Questo potenziale deriva dalla ricchezza accumulata durante gli anni lavorativi e dalla loro generalmente elevata capacità di decumulo, supportata dai generosi sistemi pensionistici introdotti dopo la Seconda Guerra Mondiale. Tuttavia, la sostenibilità a lungo termine della silver economy è sempre più sotto esame. Le ripetute crisi economiche hanno ostacolato la capacità delle persone di accumulare ricchezza e hanno minato la stabilità dei sistemi di welfare. Di conseguenza, analizzare la sicurezza finanziaria è fondamentale per comprendere il futuro della silver economy, in particolare in relazione alle giovani generazioni che si avvicinano alla pensione.</w:t>
      </w:r>
    </w:p>
    <w:p w14:paraId="6F7320FB" w14:textId="77777777" w:rsidR="00D42E8F" w:rsidRPr="008B346E" w:rsidRDefault="00D42E8F" w:rsidP="00D42E8F">
      <w:pPr>
        <w:jc w:val="both"/>
        <w:rPr>
          <w:rFonts w:ascii="Poppins" w:hAnsi="Poppins" w:cs="Poppins"/>
          <w:sz w:val="20"/>
          <w:szCs w:val="20"/>
          <w:lang w:val="en-GB"/>
        </w:rPr>
      </w:pPr>
      <w:r w:rsidRPr="008B346E">
        <w:rPr>
          <w:rFonts w:ascii="Poppins" w:hAnsi="Poppins" w:cs="Poppins"/>
          <w:sz w:val="20"/>
          <w:szCs w:val="20"/>
          <w:lang w:val="en-GB"/>
        </w:rPr>
        <w:t>Inoltre, l'analisi della sicurezza finanziaria da una prospettiva di genere è particolarmente significativa. Le donne rappresentano una percentuale maggiore della popolazione anziana, ma spesso si trovano ad affrontare maggiori difficoltà finanziarie. La discriminazione storica ha limitato il loro accesso al reddito, con conseguenti pensioni più basse, spesso limitate alle prestazioni di reversibilità. Questo svantaggio finanziario è in netto contrasto con le loro maggiori esigenze, in particolare per quanto riguarda le spese sanitarie e di assistenza.</w:t>
      </w:r>
    </w:p>
    <w:p w14:paraId="2EC52F13" w14:textId="77777777" w:rsidR="00D42E8F" w:rsidRPr="008B346E" w:rsidRDefault="00D42E8F" w:rsidP="00D42E8F">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9 </w:t>
      </w:r>
      <w:r w:rsidRPr="008B346E">
        <w:rPr>
          <w:rFonts w:ascii="Poppins" w:hAnsi="Poppins" w:cs="Poppins"/>
          <w:szCs w:val="20"/>
          <w:lang w:val="en-GB"/>
        </w:rPr>
        <w:t>- Indicatori di sicurezza finanziaria.</w:t>
      </w:r>
    </w:p>
    <w:tbl>
      <w:tblPr>
        <w:tblStyle w:val="Grigliatabella"/>
        <w:tblW w:w="0" w:type="auto"/>
        <w:tblInd w:w="0" w:type="dxa"/>
        <w:tblLook w:val="04A0" w:firstRow="1" w:lastRow="0" w:firstColumn="1" w:lastColumn="0" w:noHBand="0" w:noVBand="1"/>
      </w:tblPr>
      <w:tblGrid>
        <w:gridCol w:w="3077"/>
        <w:gridCol w:w="6551"/>
      </w:tblGrid>
      <w:tr w:rsidR="00D42E8F" w:rsidRPr="008B346E" w14:paraId="1EA5EFCF" w14:textId="77777777" w:rsidTr="00B74592">
        <w:trPr>
          <w:trHeight w:val="534"/>
        </w:trPr>
        <w:tc>
          <w:tcPr>
            <w:tcW w:w="0" w:type="auto"/>
          </w:tcPr>
          <w:p w14:paraId="5DABC956" w14:textId="77777777" w:rsidR="00D42E8F" w:rsidRPr="008B346E" w:rsidRDefault="00D42E8F" w:rsidP="00B74592">
            <w:pPr>
              <w:jc w:val="both"/>
              <w:rPr>
                <w:rFonts w:ascii="Poppins" w:hAnsi="Poppins" w:cs="Poppins"/>
                <w:b/>
                <w:bCs/>
                <w:lang w:val="en-GB"/>
              </w:rPr>
            </w:pPr>
            <w:r w:rsidRPr="008B346E">
              <w:rPr>
                <w:rFonts w:ascii="Poppins" w:hAnsi="Poppins" w:cs="Poppins"/>
                <w:b/>
                <w:bCs/>
                <w:lang w:val="en-GB"/>
              </w:rPr>
              <w:t>Indicatore o classe di indicatori</w:t>
            </w:r>
          </w:p>
        </w:tc>
        <w:tc>
          <w:tcPr>
            <w:tcW w:w="0" w:type="auto"/>
          </w:tcPr>
          <w:p w14:paraId="2257D57D" w14:textId="77777777" w:rsidR="00D42E8F" w:rsidRPr="008B346E" w:rsidRDefault="00D42E8F" w:rsidP="00B74592">
            <w:pPr>
              <w:jc w:val="both"/>
              <w:rPr>
                <w:rFonts w:ascii="Poppins" w:hAnsi="Poppins" w:cs="Poppins"/>
                <w:b/>
                <w:bCs/>
                <w:lang w:val="en-GB"/>
              </w:rPr>
            </w:pPr>
            <w:r w:rsidRPr="008B346E">
              <w:rPr>
                <w:rFonts w:ascii="Poppins" w:hAnsi="Poppins" w:cs="Poppins"/>
                <w:b/>
                <w:bCs/>
                <w:lang w:val="en-GB"/>
              </w:rPr>
              <w:t>Descrizione e fonte</w:t>
            </w:r>
          </w:p>
        </w:tc>
      </w:tr>
      <w:tr w:rsidR="00D42E8F" w:rsidRPr="008B346E" w14:paraId="5B089287" w14:textId="77777777" w:rsidTr="00B74592">
        <w:tc>
          <w:tcPr>
            <w:tcW w:w="0" w:type="auto"/>
            <w:gridSpan w:val="2"/>
          </w:tcPr>
          <w:p w14:paraId="5EED920B" w14:textId="77777777" w:rsidR="00D42E8F" w:rsidRPr="008B346E" w:rsidRDefault="00D42E8F" w:rsidP="00B74592">
            <w:pPr>
              <w:jc w:val="both"/>
              <w:rPr>
                <w:rFonts w:ascii="Poppins" w:hAnsi="Poppins" w:cs="Poppins"/>
                <w:b/>
                <w:bCs/>
                <w:lang w:val="en-GB"/>
              </w:rPr>
            </w:pPr>
            <w:r w:rsidRPr="008B346E">
              <w:rPr>
                <w:rFonts w:ascii="Poppins" w:hAnsi="Poppins" w:cs="Poppins"/>
                <w:b/>
                <w:bCs/>
                <w:i/>
                <w:iCs/>
                <w:lang w:val="en-GB"/>
              </w:rPr>
              <w:t>Indicatori microeconomici: reddito individuale, pensione e risparmio</w:t>
            </w:r>
          </w:p>
        </w:tc>
      </w:tr>
      <w:tr w:rsidR="00D42E8F" w:rsidRPr="008B346E" w14:paraId="6AFD7460" w14:textId="77777777" w:rsidTr="00B74592">
        <w:tc>
          <w:tcPr>
            <w:tcW w:w="0" w:type="auto"/>
          </w:tcPr>
          <w:p w14:paraId="72EA1969"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Ricchezza netta delle famiglie (per età della persona di riferimento)</w:t>
            </w:r>
          </w:p>
        </w:tc>
        <w:tc>
          <w:tcPr>
            <w:tcW w:w="0" w:type="auto"/>
          </w:tcPr>
          <w:p w14:paraId="19DDBF38" w14:textId="77777777" w:rsidR="00D42E8F" w:rsidRPr="008B346E" w:rsidRDefault="00D42E8F" w:rsidP="00B74592">
            <w:pPr>
              <w:jc w:val="both"/>
              <w:rPr>
                <w:rFonts w:ascii="Poppins" w:hAnsi="Poppins" w:cs="Poppins"/>
                <w:lang w:val="en-GB"/>
              </w:rPr>
            </w:pPr>
            <w:r w:rsidRPr="008B346E">
              <w:rPr>
                <w:rFonts w:ascii="Poppins" w:hAnsi="Poppins" w:cs="Poppins"/>
                <w:lang w:val="en-GB"/>
              </w:rPr>
              <w:t>Ricchezza totale delle famiglie, misurata come somma delle attività reali (ad esempio, immobili e terreni) e delle attività finanziarie (ad esempio, depositi bancari, titoli e pensioni), meno le passività (ad esempio, mutui e debiti). Fonte: HFCN; IHB.</w:t>
            </w:r>
          </w:p>
        </w:tc>
      </w:tr>
      <w:tr w:rsidR="00D42E8F" w:rsidRPr="008B346E" w14:paraId="6C87C043" w14:textId="77777777" w:rsidTr="00B74592">
        <w:tc>
          <w:tcPr>
            <w:tcW w:w="0" w:type="auto"/>
          </w:tcPr>
          <w:p w14:paraId="18666716"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Reddito medio/mediano relativo per fasce d'età</w:t>
            </w:r>
          </w:p>
        </w:tc>
        <w:tc>
          <w:tcPr>
            <w:tcW w:w="0" w:type="auto"/>
          </w:tcPr>
          <w:p w14:paraId="2B8D7329" w14:textId="77777777" w:rsidR="00D42E8F" w:rsidRPr="008B346E" w:rsidRDefault="00D42E8F" w:rsidP="00B74592">
            <w:pPr>
              <w:jc w:val="both"/>
              <w:rPr>
                <w:rFonts w:ascii="Poppins" w:hAnsi="Poppins" w:cs="Poppins"/>
                <w:lang w:val="en-GB"/>
              </w:rPr>
            </w:pPr>
            <w:r w:rsidRPr="008B346E">
              <w:rPr>
                <w:rFonts w:ascii="Poppins" w:hAnsi="Poppins" w:cs="Poppins"/>
                <w:lang w:val="en-GB"/>
              </w:rPr>
              <w:t>Rapporto tra il reddito disponibile equivalente medio/mediano delle persone al di sopra di una certa soglia di età e quelle al di sotto della stessa soglia (ad esempio, 65 anni). Fonte: MEF-Tax; EU-SILC; IHB.</w:t>
            </w:r>
          </w:p>
        </w:tc>
      </w:tr>
      <w:tr w:rsidR="00D42E8F" w:rsidRPr="008B346E" w14:paraId="6082F957" w14:textId="77777777" w:rsidTr="00B74592">
        <w:tc>
          <w:tcPr>
            <w:tcW w:w="0" w:type="auto"/>
          </w:tcPr>
          <w:p w14:paraId="2EE7B869"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Importo medio annuo lordo delle prestazioni pensionistiche</w:t>
            </w:r>
          </w:p>
        </w:tc>
        <w:tc>
          <w:tcPr>
            <w:tcW w:w="0" w:type="auto"/>
          </w:tcPr>
          <w:p w14:paraId="0A9A678B" w14:textId="77777777" w:rsidR="00D42E8F" w:rsidRPr="008B346E" w:rsidRDefault="00D42E8F" w:rsidP="00B74592">
            <w:pPr>
              <w:jc w:val="both"/>
              <w:rPr>
                <w:rFonts w:ascii="Poppins" w:hAnsi="Poppins" w:cs="Poppins"/>
                <w:lang w:val="en-GB"/>
              </w:rPr>
            </w:pPr>
            <w:r w:rsidRPr="008B346E">
              <w:rPr>
                <w:rFonts w:ascii="Poppins" w:hAnsi="Poppins" w:cs="Poppins"/>
                <w:lang w:val="en-GB"/>
              </w:rPr>
              <w:t>Importo lordo totale medio di denaro ricevuto annualmente da un individuo come prestazioni pensionistiche, al lordo di tasse o detrazioni. Fonte: CRPens .</w:t>
            </w:r>
          </w:p>
        </w:tc>
      </w:tr>
      <w:tr w:rsidR="00D42E8F" w:rsidRPr="008B346E" w14:paraId="0E2023B4" w14:textId="77777777" w:rsidTr="00B74592">
        <w:tc>
          <w:tcPr>
            <w:tcW w:w="0" w:type="auto"/>
          </w:tcPr>
          <w:p w14:paraId="1BA46124"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lastRenderedPageBreak/>
              <w:t>Risparmio pensionistico medio</w:t>
            </w:r>
          </w:p>
        </w:tc>
        <w:tc>
          <w:tcPr>
            <w:tcW w:w="0" w:type="auto"/>
          </w:tcPr>
          <w:p w14:paraId="0C2F5016" w14:textId="77777777" w:rsidR="00D42E8F" w:rsidRPr="008B346E" w:rsidRDefault="00D42E8F" w:rsidP="00B74592">
            <w:pPr>
              <w:jc w:val="both"/>
              <w:rPr>
                <w:rFonts w:ascii="Poppins" w:hAnsi="Poppins" w:cs="Poppins"/>
                <w:lang w:val="en-GB"/>
              </w:rPr>
            </w:pPr>
            <w:r w:rsidRPr="008B346E">
              <w:rPr>
                <w:rFonts w:ascii="Poppins" w:hAnsi="Poppins" w:cs="Poppins"/>
                <w:lang w:val="en-GB"/>
              </w:rPr>
              <w:t>Importo medio di denaro risparmiato in conti pensionistici o strumenti finanziari simili da parte di individui all'interno di una specifica popolazione. Fonte: IHB.</w:t>
            </w:r>
          </w:p>
        </w:tc>
      </w:tr>
      <w:tr w:rsidR="00D42E8F" w:rsidRPr="008B346E" w14:paraId="0347DFB2" w14:textId="77777777" w:rsidTr="00B74592">
        <w:tc>
          <w:tcPr>
            <w:tcW w:w="0" w:type="auto"/>
          </w:tcPr>
          <w:p w14:paraId="02065D5A"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Motivazione del risparmio: pensione</w:t>
            </w:r>
          </w:p>
        </w:tc>
        <w:tc>
          <w:tcPr>
            <w:tcW w:w="0" w:type="auto"/>
          </w:tcPr>
          <w:p w14:paraId="4937F892" w14:textId="77777777" w:rsidR="00D42E8F" w:rsidRPr="008B346E" w:rsidRDefault="00D42E8F" w:rsidP="00B74592">
            <w:pPr>
              <w:jc w:val="both"/>
              <w:rPr>
                <w:rFonts w:ascii="Poppins" w:hAnsi="Poppins" w:cs="Poppins"/>
                <w:lang w:val="en-GB"/>
              </w:rPr>
            </w:pPr>
            <w:r w:rsidRPr="008B346E">
              <w:rPr>
                <w:rFonts w:ascii="Poppins" w:hAnsi="Poppins" w:cs="Poppins"/>
                <w:lang w:val="en-GB"/>
              </w:rPr>
              <w:t>Percentuale di individui che identificano la pensione come motivazione per il risparmio familiare, segmentati per quintili di reddito e fascia d'età. Fonte: IHB.</w:t>
            </w:r>
          </w:p>
        </w:tc>
      </w:tr>
      <w:tr w:rsidR="00D42E8F" w:rsidRPr="008B346E" w14:paraId="57437023" w14:textId="77777777" w:rsidTr="00B74592">
        <w:tc>
          <w:tcPr>
            <w:tcW w:w="0" w:type="auto"/>
            <w:gridSpan w:val="2"/>
          </w:tcPr>
          <w:p w14:paraId="775D744C" w14:textId="77777777" w:rsidR="00D42E8F" w:rsidRPr="008B346E" w:rsidRDefault="00D42E8F" w:rsidP="00B74592">
            <w:pPr>
              <w:jc w:val="both"/>
              <w:rPr>
                <w:rFonts w:ascii="Poppins" w:hAnsi="Poppins" w:cs="Poppins"/>
                <w:lang w:val="en-GB"/>
              </w:rPr>
            </w:pPr>
            <w:r w:rsidRPr="008B346E">
              <w:rPr>
                <w:rFonts w:ascii="Poppins" w:hAnsi="Poppins" w:cs="Poppins"/>
                <w:b/>
                <w:bCs/>
                <w:i/>
                <w:iCs/>
                <w:lang w:val="en-GB"/>
              </w:rPr>
              <w:t>Indicatori microeconomici: rischio povertà</w:t>
            </w:r>
          </w:p>
        </w:tc>
      </w:tr>
      <w:tr w:rsidR="00D42E8F" w:rsidRPr="008B346E" w14:paraId="29475F06" w14:textId="77777777" w:rsidTr="00B74592">
        <w:tc>
          <w:tcPr>
            <w:tcW w:w="0" w:type="auto"/>
          </w:tcPr>
          <w:p w14:paraId="5131C81B"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Povertà monetaria</w:t>
            </w:r>
          </w:p>
        </w:tc>
        <w:tc>
          <w:tcPr>
            <w:tcW w:w="0" w:type="auto"/>
          </w:tcPr>
          <w:p w14:paraId="7DD68208" w14:textId="77777777" w:rsidR="00D42E8F" w:rsidRPr="008B346E" w:rsidRDefault="00D42E8F" w:rsidP="00B74592">
            <w:pPr>
              <w:jc w:val="both"/>
              <w:rPr>
                <w:rFonts w:ascii="Poppins" w:hAnsi="Poppins" w:cs="Poppins"/>
                <w:lang w:val="en-GB"/>
              </w:rPr>
            </w:pPr>
            <w:r w:rsidRPr="008B346E">
              <w:rPr>
                <w:rFonts w:ascii="Poppins" w:hAnsi="Poppins" w:cs="Poppins"/>
                <w:lang w:val="en-GB"/>
              </w:rPr>
              <w:t>Percentuale di nuclei familiari a rischio di povertà o finanziariamente vulnerabili, tra cui quelli con un percettore di reddito principale di età pari o superiore a 65 anni, persone single di età pari o superiore a 65 anni, coppie senza figli con una donna di età superiore a 65 anni e nuclei familiari con uno o più membri anziani. Fonte: EU-SILC; HFCN; IHB.</w:t>
            </w:r>
          </w:p>
        </w:tc>
      </w:tr>
      <w:tr w:rsidR="00D42E8F" w:rsidRPr="008B346E" w14:paraId="321FC0EB" w14:textId="77777777" w:rsidTr="00B74592">
        <w:tc>
          <w:tcPr>
            <w:tcW w:w="0" w:type="auto"/>
          </w:tcPr>
          <w:p w14:paraId="3215353C"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Divario relativo del rischio di povertà mediano tra gli anziani e i pensionati</w:t>
            </w:r>
          </w:p>
        </w:tc>
        <w:tc>
          <w:tcPr>
            <w:tcW w:w="0" w:type="auto"/>
          </w:tcPr>
          <w:p w14:paraId="72A80048" w14:textId="77777777" w:rsidR="00D42E8F" w:rsidRPr="008B346E" w:rsidRDefault="00D42E8F" w:rsidP="00B74592">
            <w:pPr>
              <w:jc w:val="both"/>
              <w:rPr>
                <w:rFonts w:ascii="Poppins" w:hAnsi="Poppins" w:cs="Poppins"/>
                <w:highlight w:val="yellow"/>
                <w:lang w:val="en-GB"/>
              </w:rPr>
            </w:pPr>
            <w:r w:rsidRPr="008B346E">
              <w:rPr>
                <w:rFonts w:ascii="Poppins" w:hAnsi="Poppins" w:cs="Poppins"/>
                <w:lang w:val="en-GB"/>
              </w:rPr>
              <w:t>Il divario di povertà degli anziani (di età pari o superiore a 65 anni e di età pari o superiore a 75 anni per i pensionati), misurato come la differenza tra il reddito disponibile equivalente mediano degli anziani a rischio di povertà e la soglia di povertà stessa (60% del reddito equivalente mediano), espressa come percentuale della soglia. Fonte: EU-SILC.</w:t>
            </w:r>
          </w:p>
        </w:tc>
      </w:tr>
      <w:tr w:rsidR="00D42E8F" w:rsidRPr="008B346E" w14:paraId="0F6EFFBE" w14:textId="77777777" w:rsidTr="00B74592">
        <w:tc>
          <w:tcPr>
            <w:tcW w:w="0" w:type="auto"/>
          </w:tcPr>
          <w:p w14:paraId="0738CD78"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privazione materiale</w:t>
            </w:r>
          </w:p>
        </w:tc>
        <w:tc>
          <w:tcPr>
            <w:tcW w:w="0" w:type="auto"/>
          </w:tcPr>
          <w:p w14:paraId="292F1CC2" w14:textId="77777777" w:rsidR="00D42E8F" w:rsidRPr="008B346E" w:rsidRDefault="00D42E8F" w:rsidP="00B74592">
            <w:pPr>
              <w:jc w:val="both"/>
              <w:rPr>
                <w:rFonts w:ascii="Poppins" w:hAnsi="Poppins" w:cs="Poppins"/>
                <w:highlight w:val="yellow"/>
                <w:lang w:val="en-GB"/>
              </w:rPr>
            </w:pPr>
            <w:r w:rsidRPr="008B346E">
              <w:rPr>
                <w:rFonts w:ascii="Poppins" w:hAnsi="Poppins" w:cs="Poppins"/>
                <w:lang w:val="en-GB"/>
              </w:rPr>
              <w:t>Percentuale di nuclei familiari in cui il principale percettore di reddito ha 65 anni o più, individui single di 65 anni o più, coppie senza figli con una donna di 65 anni o più, o nuclei familiari con uno o più membri anziani, che non sono in grado di permettersi beni, servizi o attività essenziali necessari per un adeguato tenore di vita. Fonte: EU-SILC.</w:t>
            </w:r>
          </w:p>
        </w:tc>
      </w:tr>
      <w:tr w:rsidR="00D42E8F" w:rsidRPr="008B346E" w14:paraId="0B543AAE" w14:textId="77777777" w:rsidTr="00B74592">
        <w:tc>
          <w:tcPr>
            <w:tcW w:w="0" w:type="auto"/>
          </w:tcPr>
          <w:p w14:paraId="3055D785"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Impossibilità di risparmiare denaro</w:t>
            </w:r>
          </w:p>
        </w:tc>
        <w:tc>
          <w:tcPr>
            <w:tcW w:w="0" w:type="auto"/>
          </w:tcPr>
          <w:p w14:paraId="6839C555" w14:textId="77777777" w:rsidR="00D42E8F" w:rsidRPr="008B346E" w:rsidRDefault="00D42E8F" w:rsidP="00B74592">
            <w:pPr>
              <w:jc w:val="both"/>
              <w:rPr>
                <w:rFonts w:ascii="Poppins" w:hAnsi="Poppins" w:cs="Poppins"/>
                <w:lang w:val="en-GB"/>
              </w:rPr>
            </w:pPr>
            <w:r w:rsidRPr="008B346E">
              <w:rPr>
                <w:rFonts w:ascii="Poppins" w:hAnsi="Poppins" w:cs="Poppins"/>
                <w:lang w:val="en-GB"/>
              </w:rPr>
              <w:t>Percentuale di nuclei familiari in cui il principale percettore di reddito ha 65 anni o più, individui single di 65 anni o più, coppie senza figli con una donna di 65 anni o più, o nuclei familiari con uno o più membri anziani, che dichiarano di non essere in grado di mettere da parte denaro per le necessità future. Fonte: EU-SILC.</w:t>
            </w:r>
          </w:p>
        </w:tc>
      </w:tr>
      <w:tr w:rsidR="00D42E8F" w:rsidRPr="008B346E" w14:paraId="6CED057E" w14:textId="77777777" w:rsidTr="00B74592">
        <w:tc>
          <w:tcPr>
            <w:tcW w:w="0" w:type="auto"/>
          </w:tcPr>
          <w:p w14:paraId="395BCECC"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Incapacità di far fronte a spese impreviste</w:t>
            </w:r>
          </w:p>
        </w:tc>
        <w:tc>
          <w:tcPr>
            <w:tcW w:w="0" w:type="auto"/>
          </w:tcPr>
          <w:p w14:paraId="12193AAF" w14:textId="77777777" w:rsidR="00D42E8F" w:rsidRPr="008B346E" w:rsidRDefault="00D42E8F" w:rsidP="00B74592">
            <w:pPr>
              <w:jc w:val="both"/>
              <w:rPr>
                <w:rFonts w:ascii="Poppins" w:hAnsi="Poppins" w:cs="Poppins"/>
                <w:lang w:val="en-GB"/>
              </w:rPr>
            </w:pPr>
            <w:r w:rsidRPr="008B346E">
              <w:rPr>
                <w:rFonts w:ascii="Poppins" w:hAnsi="Poppins" w:cs="Poppins"/>
                <w:lang w:val="en-GB"/>
              </w:rPr>
              <w:t xml:space="preserve">Percentuale di nuclei familiari in cui il principale percettore di reddito ha 65 anni o più, individui single di 65 anni o più, coppie senza figli con una donna di 65 anni o più, o nuclei </w:t>
            </w:r>
            <w:r w:rsidRPr="008B346E">
              <w:rPr>
                <w:rFonts w:ascii="Poppins" w:hAnsi="Poppins" w:cs="Poppins"/>
                <w:lang w:val="en-GB"/>
              </w:rPr>
              <w:lastRenderedPageBreak/>
              <w:t>familiari con uno o più membri anziani, che dichiarano di non essere in grado di coprire spese impreviste, come spese mediche, riparazioni urgenti o altre esigenze finanziarie impreviste, senza difficoltà finanziarie. Fonte: EU-SILC.</w:t>
            </w:r>
          </w:p>
        </w:tc>
      </w:tr>
      <w:tr w:rsidR="00D42E8F" w:rsidRPr="008B346E" w14:paraId="0D6A504C" w14:textId="77777777" w:rsidTr="00B74592">
        <w:tc>
          <w:tcPr>
            <w:tcW w:w="0" w:type="auto"/>
          </w:tcPr>
          <w:p w14:paraId="5BF89C45"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lastRenderedPageBreak/>
              <w:t>Arretrati domestici</w:t>
            </w:r>
          </w:p>
        </w:tc>
        <w:tc>
          <w:tcPr>
            <w:tcW w:w="0" w:type="auto"/>
          </w:tcPr>
          <w:p w14:paraId="6B8FF9AD" w14:textId="77777777" w:rsidR="00D42E8F" w:rsidRPr="008B346E" w:rsidRDefault="00D42E8F" w:rsidP="00B74592">
            <w:pPr>
              <w:jc w:val="both"/>
              <w:rPr>
                <w:rFonts w:ascii="Poppins" w:hAnsi="Poppins" w:cs="Poppins"/>
                <w:lang w:val="en-GB"/>
              </w:rPr>
            </w:pPr>
            <w:r w:rsidRPr="008B346E">
              <w:rPr>
                <w:rFonts w:ascii="Poppins" w:hAnsi="Poppins" w:cs="Poppins"/>
                <w:lang w:val="en-GB"/>
              </w:rPr>
              <w:t>Percentuale di famiglie in ritardo con i pagamenti del mutuo o dell'affitto, delle bollette o delle vendite rateali. Fonte: EU-SILC.</w:t>
            </w:r>
          </w:p>
        </w:tc>
      </w:tr>
      <w:tr w:rsidR="00D42E8F" w:rsidRPr="008B346E" w14:paraId="7178E194" w14:textId="77777777" w:rsidTr="00B74592">
        <w:tc>
          <w:tcPr>
            <w:tcW w:w="0" w:type="auto"/>
          </w:tcPr>
          <w:p w14:paraId="42971D32"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Famiglie indebitate</w:t>
            </w:r>
          </w:p>
        </w:tc>
        <w:tc>
          <w:tcPr>
            <w:tcW w:w="0" w:type="auto"/>
          </w:tcPr>
          <w:p w14:paraId="3A47D9BC" w14:textId="77777777" w:rsidR="00D42E8F" w:rsidRPr="008B346E" w:rsidRDefault="00D42E8F" w:rsidP="00B74592">
            <w:pPr>
              <w:jc w:val="both"/>
              <w:rPr>
                <w:rFonts w:ascii="Poppins" w:hAnsi="Poppins" w:cs="Poppins"/>
                <w:lang w:val="en-GB"/>
              </w:rPr>
            </w:pPr>
            <w:r w:rsidRPr="008B346E">
              <w:rPr>
                <w:rFonts w:ascii="Poppins" w:hAnsi="Poppins" w:cs="Poppins"/>
                <w:lang w:val="en-GB"/>
              </w:rPr>
              <w:t>Quota di famiglie indebitate per età della persona di riferimento. Fonte: IHB.</w:t>
            </w:r>
          </w:p>
        </w:tc>
      </w:tr>
      <w:tr w:rsidR="00D42E8F" w:rsidRPr="008B346E" w14:paraId="5638CCB8" w14:textId="77777777" w:rsidTr="00B74592">
        <w:tc>
          <w:tcPr>
            <w:tcW w:w="0" w:type="auto"/>
          </w:tcPr>
          <w:p w14:paraId="4572D444"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Preoccupazione di non avere un reddito sufficiente in età avanzata</w:t>
            </w:r>
          </w:p>
        </w:tc>
        <w:tc>
          <w:tcPr>
            <w:tcW w:w="0" w:type="auto"/>
          </w:tcPr>
          <w:p w14:paraId="614604F3" w14:textId="77777777" w:rsidR="00D42E8F" w:rsidRPr="008B346E" w:rsidRDefault="00D42E8F" w:rsidP="00B74592">
            <w:pPr>
              <w:jc w:val="both"/>
              <w:rPr>
                <w:rFonts w:ascii="Poppins" w:hAnsi="Poppins" w:cs="Poppins"/>
                <w:lang w:val="en-GB"/>
              </w:rPr>
            </w:pPr>
            <w:r w:rsidRPr="008B346E">
              <w:rPr>
                <w:rFonts w:ascii="Poppins" w:hAnsi="Poppins" w:cs="Poppins"/>
                <w:lang w:val="en-GB"/>
              </w:rPr>
              <w:t>Percentuale di individui, suddivisi per fascia d'età, che esprimono preoccupazione per la mancanza di un reddito sufficiente a soddisfare i propri bisogni in età avanzata. Fonte: EQLS.</w:t>
            </w:r>
          </w:p>
        </w:tc>
      </w:tr>
      <w:tr w:rsidR="00D42E8F" w:rsidRPr="008B346E" w14:paraId="5251025C" w14:textId="77777777" w:rsidTr="00B74592">
        <w:tc>
          <w:tcPr>
            <w:tcW w:w="0" w:type="auto"/>
            <w:gridSpan w:val="2"/>
          </w:tcPr>
          <w:p w14:paraId="5C12A501" w14:textId="77777777" w:rsidR="00D42E8F" w:rsidRPr="008B346E" w:rsidRDefault="00D42E8F" w:rsidP="00B74592">
            <w:pPr>
              <w:jc w:val="both"/>
              <w:rPr>
                <w:rFonts w:ascii="Poppins" w:hAnsi="Poppins" w:cs="Poppins"/>
                <w:lang w:val="en-GB"/>
              </w:rPr>
            </w:pPr>
            <w:r w:rsidRPr="008B346E">
              <w:rPr>
                <w:rFonts w:ascii="Poppins" w:hAnsi="Poppins" w:cs="Poppins"/>
                <w:b/>
                <w:bCs/>
                <w:i/>
                <w:iCs/>
                <w:lang w:val="en-GB"/>
              </w:rPr>
              <w:t>Indicatori macroeconomici</w:t>
            </w:r>
          </w:p>
        </w:tc>
      </w:tr>
      <w:tr w:rsidR="00D42E8F" w:rsidRPr="008B346E" w14:paraId="5F52500C" w14:textId="77777777" w:rsidTr="00B74592">
        <w:tc>
          <w:tcPr>
            <w:tcW w:w="0" w:type="auto"/>
          </w:tcPr>
          <w:p w14:paraId="08D46BF3"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Quota delle pensioni di vecchiaia</w:t>
            </w:r>
          </w:p>
        </w:tc>
        <w:tc>
          <w:tcPr>
            <w:tcW w:w="0" w:type="auto"/>
          </w:tcPr>
          <w:p w14:paraId="583E0BAA" w14:textId="77777777" w:rsidR="00D42E8F" w:rsidRPr="008B346E" w:rsidRDefault="00D42E8F" w:rsidP="00B74592">
            <w:pPr>
              <w:jc w:val="both"/>
              <w:rPr>
                <w:rFonts w:ascii="Poppins" w:hAnsi="Poppins" w:cs="Poppins"/>
                <w:lang w:val="en-GB"/>
              </w:rPr>
            </w:pPr>
            <w:r w:rsidRPr="008B346E">
              <w:rPr>
                <w:rFonts w:ascii="Poppins" w:hAnsi="Poppins" w:cs="Poppins"/>
                <w:lang w:val="en-GB"/>
              </w:rPr>
              <w:t>Spesa pensionistica degli enti di previdenza sociale in percentuale del PIL. Fonte: CRPens ; IPSR.</w:t>
            </w:r>
          </w:p>
        </w:tc>
      </w:tr>
      <w:tr w:rsidR="00D42E8F" w:rsidRPr="008B346E" w14:paraId="5348B9C5" w14:textId="77777777" w:rsidTr="00B74592">
        <w:tc>
          <w:tcPr>
            <w:tcW w:w="0" w:type="auto"/>
          </w:tcPr>
          <w:p w14:paraId="73D5CDA6"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Pensionati anziani o superstiti</w:t>
            </w:r>
          </w:p>
        </w:tc>
        <w:tc>
          <w:tcPr>
            <w:tcW w:w="0" w:type="auto"/>
          </w:tcPr>
          <w:p w14:paraId="6C3F4BB8" w14:textId="77777777" w:rsidR="00D42E8F" w:rsidRPr="008B346E" w:rsidRDefault="00D42E8F" w:rsidP="00B74592">
            <w:pPr>
              <w:jc w:val="both"/>
              <w:rPr>
                <w:rFonts w:ascii="Poppins" w:hAnsi="Poppins" w:cs="Poppins"/>
                <w:lang w:val="en-GB"/>
              </w:rPr>
            </w:pPr>
            <w:r w:rsidRPr="008B346E">
              <w:rPr>
                <w:rFonts w:ascii="Poppins" w:hAnsi="Poppins" w:cs="Poppins"/>
                <w:lang w:val="en-GB"/>
              </w:rPr>
              <w:t>Percentuale di persone che percepiscono la pensione di vecchiaia o di reversibilità rispetto alla popolazione totale o a quella al di sopra di una determinata soglia di età. Fonte: CRPens ; IPSR.</w:t>
            </w:r>
          </w:p>
        </w:tc>
      </w:tr>
      <w:tr w:rsidR="00D42E8F" w:rsidRPr="008B346E" w14:paraId="4C479E07" w14:textId="77777777" w:rsidTr="00B74592">
        <w:tc>
          <w:tcPr>
            <w:tcW w:w="0" w:type="auto"/>
          </w:tcPr>
          <w:p w14:paraId="280B9202"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Quota della spesa per la protezione sociale destinata alla funzione di vecchiaia</w:t>
            </w:r>
          </w:p>
        </w:tc>
        <w:tc>
          <w:tcPr>
            <w:tcW w:w="0" w:type="auto"/>
          </w:tcPr>
          <w:p w14:paraId="5EED2F97" w14:textId="77777777" w:rsidR="00D42E8F" w:rsidRPr="008B346E" w:rsidRDefault="00D42E8F" w:rsidP="00B74592">
            <w:pPr>
              <w:jc w:val="both"/>
              <w:rPr>
                <w:rFonts w:ascii="Poppins" w:hAnsi="Poppins" w:cs="Poppins"/>
                <w:lang w:val="en-GB"/>
              </w:rPr>
            </w:pPr>
            <w:r w:rsidRPr="008B346E">
              <w:rPr>
                <w:rFonts w:ascii="Poppins" w:hAnsi="Poppins" w:cs="Poppins"/>
                <w:lang w:val="en-GB"/>
              </w:rPr>
              <w:t>La quota della spesa totale per la protezione sociale destinata alla funzione vecchiaia, come definita dal Sistema europeo di statistiche integrate sulla protezione sociale , che comprende le prestazioni che affrontano i rischi associati alla vecchiaia, come la perdita di reddito (pensioni di vecchiaia), il reddito inadeguato (pensioni sociali) e la perdita di indipendenza. Fonte: CRPens .</w:t>
            </w:r>
          </w:p>
        </w:tc>
      </w:tr>
      <w:tr w:rsidR="00D42E8F" w:rsidRPr="008B346E" w14:paraId="2AF85C5B" w14:textId="77777777" w:rsidTr="00B74592">
        <w:tc>
          <w:tcPr>
            <w:tcW w:w="0" w:type="auto"/>
          </w:tcPr>
          <w:p w14:paraId="72865B24" w14:textId="77777777" w:rsidR="00D42E8F" w:rsidRPr="008B346E" w:rsidRDefault="00D42E8F" w:rsidP="00B74592">
            <w:pPr>
              <w:jc w:val="both"/>
              <w:rPr>
                <w:rFonts w:ascii="Poppins" w:hAnsi="Poppins" w:cs="Poppins"/>
                <w:i/>
                <w:iCs/>
                <w:lang w:val="en-GB"/>
              </w:rPr>
            </w:pPr>
            <w:r w:rsidRPr="008B346E">
              <w:rPr>
                <w:rFonts w:ascii="Poppins" w:hAnsi="Poppins" w:cs="Poppins"/>
                <w:i/>
                <w:iCs/>
                <w:lang w:val="en-GB"/>
              </w:rPr>
              <w:t>Rapporto di sostituzione aggregato</w:t>
            </w:r>
          </w:p>
        </w:tc>
        <w:tc>
          <w:tcPr>
            <w:tcW w:w="0" w:type="auto"/>
          </w:tcPr>
          <w:p w14:paraId="276363CC" w14:textId="77777777" w:rsidR="00D42E8F" w:rsidRPr="008B346E" w:rsidRDefault="00D42E8F" w:rsidP="00B74592">
            <w:pPr>
              <w:jc w:val="both"/>
              <w:rPr>
                <w:rFonts w:ascii="Poppins" w:hAnsi="Poppins" w:cs="Poppins"/>
                <w:lang w:val="en-GB"/>
              </w:rPr>
            </w:pPr>
            <w:r w:rsidRPr="008B346E">
              <w:rPr>
                <w:rFonts w:ascii="Poppins" w:hAnsi="Poppins" w:cs="Poppins"/>
                <w:lang w:val="en-GB"/>
              </w:rPr>
              <w:t>Reddito pensionistico individuale mediano lordo della popolazione di età compresa tra 65 e 74 anni rispetto al reddito individuale mediano lordo da lavoro della popolazione di età compresa tra 50 e 59 anni, escluse altre prestazioni sociali. Fonte: EU-SILC.</w:t>
            </w:r>
          </w:p>
        </w:tc>
      </w:tr>
    </w:tbl>
    <w:p w14:paraId="14FBE155" w14:textId="77777777" w:rsidR="00D42E8F" w:rsidRPr="008B346E" w:rsidRDefault="00D42E8F" w:rsidP="00D42E8F">
      <w:pPr>
        <w:pStyle w:val="Titolo2"/>
        <w:ind w:left="1080"/>
        <w:rPr>
          <w:lang w:val="en-GB"/>
        </w:rPr>
      </w:pPr>
    </w:p>
    <w:p w14:paraId="1AE480E3" w14:textId="77777777" w:rsidR="00207AB3" w:rsidRPr="007657C5" w:rsidRDefault="00207AB3" w:rsidP="007657C5">
      <w:pPr>
        <w:pStyle w:val="Titolo2"/>
        <w:jc w:val="center"/>
        <w:rPr>
          <w:rFonts w:ascii="Poppins" w:hAnsi="Poppins" w:cs="Poppins"/>
          <w:color w:val="124F1A" w:themeColor="accent3" w:themeShade="BF"/>
          <w:sz w:val="36"/>
          <w:szCs w:val="36"/>
          <w:lang w:val="en-GB"/>
        </w:rPr>
      </w:pPr>
    </w:p>
    <w:sectPr w:rsidR="00207AB3" w:rsidRPr="007657C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A8D2" w14:textId="77777777" w:rsidR="00FC0CFC" w:rsidRDefault="00FC0CFC" w:rsidP="0079697F">
      <w:r>
        <w:separator/>
      </w:r>
    </w:p>
  </w:endnote>
  <w:endnote w:type="continuationSeparator" w:id="0">
    <w:p w14:paraId="7B939CEA" w14:textId="77777777" w:rsidR="00FC0CFC" w:rsidRDefault="00FC0CFC"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4AFE4" w14:textId="77777777" w:rsidR="00FC0CFC" w:rsidRDefault="00FC0CFC" w:rsidP="0079697F">
      <w:r>
        <w:separator/>
      </w:r>
    </w:p>
  </w:footnote>
  <w:footnote w:type="continuationSeparator" w:id="0">
    <w:p w14:paraId="1C117A7D" w14:textId="77777777" w:rsidR="00FC0CFC" w:rsidRDefault="00FC0CFC"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B3BE3"/>
    <w:rsid w:val="001F2272"/>
    <w:rsid w:val="00207AB3"/>
    <w:rsid w:val="002F6176"/>
    <w:rsid w:val="0040179F"/>
    <w:rsid w:val="004C207B"/>
    <w:rsid w:val="004F0188"/>
    <w:rsid w:val="005D01DF"/>
    <w:rsid w:val="00640CE0"/>
    <w:rsid w:val="007271A8"/>
    <w:rsid w:val="007657C5"/>
    <w:rsid w:val="00775CAA"/>
    <w:rsid w:val="0079697F"/>
    <w:rsid w:val="00806D9D"/>
    <w:rsid w:val="00854359"/>
    <w:rsid w:val="008D1363"/>
    <w:rsid w:val="009770E2"/>
    <w:rsid w:val="009E1892"/>
    <w:rsid w:val="009E731E"/>
    <w:rsid w:val="00A0407F"/>
    <w:rsid w:val="00A42980"/>
    <w:rsid w:val="00A65CF0"/>
    <w:rsid w:val="00B63973"/>
    <w:rsid w:val="00B72DDC"/>
    <w:rsid w:val="00C72F59"/>
    <w:rsid w:val="00C875F3"/>
    <w:rsid w:val="00CF3DA8"/>
    <w:rsid w:val="00D42E8F"/>
    <w:rsid w:val="00D57771"/>
    <w:rsid w:val="00DA4184"/>
    <w:rsid w:val="00DB3E72"/>
    <w:rsid w:val="00F12A1B"/>
    <w:rsid w:val="00F35BB5"/>
    <w:rsid w:val="00F6771C"/>
    <w:rsid w:val="00F72983"/>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975</Words>
  <Characters>5562</Characters>
  <Application>Microsoft Office Word</Application>
  <DocSecurity>0</DocSecurity>
  <Lines>46</Lines>
  <Paragraphs>13</Paragraphs>
  <ScaleCrop>false</ScaleCrop>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12</cp:revision>
  <dcterms:created xsi:type="dcterms:W3CDTF">2025-09-29T20:31:00Z</dcterms:created>
  <dcterms:modified xsi:type="dcterms:W3CDTF">2025-09-30T07:31:00Z</dcterms:modified>
</cp:coreProperties>
</file>