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1D85" w14:textId="77777777" w:rsidR="00023DFC" w:rsidRPr="00545AD2" w:rsidRDefault="00023DFC" w:rsidP="00545AD2">
      <w:pPr>
        <w:pStyle w:val="Titolo2"/>
        <w:ind w:left="360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99964135"/>
      <w:bookmarkStart w:id="1" w:name="_Toc187013342"/>
      <w:bookmarkStart w:id="2" w:name="_Toc188269369"/>
      <w:bookmarkStart w:id="3" w:name="_Toc188282630"/>
    </w:p>
    <w:bookmarkEnd w:id="0"/>
    <w:bookmarkEnd w:id="1"/>
    <w:bookmarkEnd w:id="2"/>
    <w:bookmarkEnd w:id="3"/>
    <w:p w14:paraId="32B39C1D" w14:textId="77777777" w:rsidR="001D0BC5" w:rsidRDefault="001D0BC5" w:rsidP="001D0BC5">
      <w:pPr>
        <w:pStyle w:val="Titolo4"/>
        <w:jc w:val="center"/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</w:pPr>
      <w:r w:rsidRPr="001D0BC5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Educazione al mercato: passare da un pensiero incentrato sui bonus a una cultura del benessere</w:t>
      </w:r>
    </w:p>
    <w:p w14:paraId="20BABA1E" w14:textId="77777777" w:rsidR="001D0BC5" w:rsidRPr="001D0BC5" w:rsidRDefault="001D0BC5" w:rsidP="001D0BC5">
      <w:pPr>
        <w:rPr>
          <w:lang w:val="en-GB"/>
        </w:rPr>
      </w:pPr>
    </w:p>
    <w:p w14:paraId="2F78D250" w14:textId="77777777" w:rsidR="001D0BC5" w:rsidRPr="00737108" w:rsidRDefault="001D0BC5" w:rsidP="00737108">
      <w:pPr>
        <w:jc w:val="both"/>
        <w:rPr>
          <w:rFonts w:ascii="Poppins" w:hAnsi="Poppins" w:cs="Poppins"/>
          <w:lang w:val="en-GB"/>
        </w:rPr>
      </w:pPr>
      <w:r w:rsidRPr="00737108">
        <w:rPr>
          <w:rFonts w:ascii="Poppins" w:hAnsi="Poppins" w:cs="Poppins"/>
          <w:lang w:val="en-GB"/>
        </w:rPr>
        <w:t xml:space="preserve">Esiste un ampio consenso sulla necessità di sensibilizzare i beneficiari finali del </w:t>
      </w:r>
      <w:r w:rsidRPr="00737108">
        <w:rPr>
          <w:rFonts w:ascii="Poppins" w:hAnsi="Poppins" w:cs="Poppins"/>
          <w:i/>
          <w:lang w:val="en-GB"/>
        </w:rPr>
        <w:t xml:space="preserve">welfare aziendale – </w:t>
      </w:r>
      <w:r w:rsidRPr="00737108">
        <w:rPr>
          <w:rFonts w:ascii="Poppins" w:hAnsi="Poppins" w:cs="Poppins"/>
          <w:lang w:val="en-GB"/>
        </w:rPr>
        <w:t xml:space="preserve">i dipendenti – sull'importanza di un utilizzo consapevole dei servizi offerti. Da questa prospettiva, la scarsa adozione di servizi di assistenza, come i servizi di supporto familiare, le pensioni integrative e l'assistenza a lungo termine – nonostante siano ampiamente disponibili sulle piattaforme di welfare e attivamente promossi da alcuni fornitori ibridi – è attribuita a una percezione stereotipata del </w:t>
      </w:r>
      <w:r w:rsidRPr="00737108">
        <w:rPr>
          <w:rFonts w:ascii="Poppins" w:hAnsi="Poppins" w:cs="Poppins"/>
          <w:i/>
          <w:lang w:val="en-GB"/>
        </w:rPr>
        <w:t xml:space="preserve">welfare aziendale </w:t>
      </w:r>
      <w:r w:rsidRPr="00737108">
        <w:rPr>
          <w:rFonts w:ascii="Poppins" w:hAnsi="Poppins" w:cs="Poppins"/>
          <w:lang w:val="en-GB"/>
        </w:rPr>
        <w:t>come poco più di un portafoglio digitale utilizzato per riscattare carte regalo o buoni spesa.</w:t>
      </w:r>
    </w:p>
    <w:p w14:paraId="49290F5E" w14:textId="77777777" w:rsidR="001D0BC5" w:rsidRPr="00737108" w:rsidRDefault="001D0BC5" w:rsidP="00737108">
      <w:pPr>
        <w:jc w:val="both"/>
        <w:rPr>
          <w:rFonts w:ascii="Poppins" w:hAnsi="Poppins" w:cs="Poppins"/>
          <w:lang w:val="en-GB"/>
        </w:rPr>
      </w:pPr>
      <w:r w:rsidRPr="00737108">
        <w:rPr>
          <w:rFonts w:ascii="Poppins" w:hAnsi="Poppins" w:cs="Poppins"/>
          <w:lang w:val="en-GB"/>
        </w:rPr>
        <w:t>Secondo un intervistato, la logica del solo sostegno al reddito è ulteriormente rafforzata dalla diffusa abitudine di ricevere incentivi statali sotto forma di bonus in denaro. Ciò rende più difficile per alcune piattaforme spostare l'attenzione dall'erogazione di denaro a un approccio basato sui servizi.</w:t>
      </w:r>
    </w:p>
    <w:p w14:paraId="473F6DDA" w14:textId="77777777" w:rsidR="001D0BC5" w:rsidRPr="00737108" w:rsidRDefault="001D0BC5" w:rsidP="00737108">
      <w:pPr>
        <w:ind w:firstLine="720"/>
        <w:jc w:val="both"/>
        <w:rPr>
          <w:rFonts w:ascii="Poppins" w:hAnsi="Poppins" w:cs="Poppins"/>
        </w:rPr>
      </w:pPr>
      <w:proofErr w:type="gramStart"/>
      <w:r w:rsidRPr="00737108">
        <w:rPr>
          <w:rFonts w:ascii="Poppins" w:hAnsi="Poppins" w:cs="Poppins"/>
        </w:rPr>
        <w:t xml:space="preserve">[« </w:t>
      </w:r>
      <w:r w:rsidRPr="00737108">
        <w:rPr>
          <w:rFonts w:ascii="Poppins" w:hAnsi="Poppins" w:cs="Poppins"/>
          <w:color w:val="0B4E3B"/>
        </w:rPr>
        <w:t>Sono</w:t>
      </w:r>
      <w:proofErr w:type="gramEnd"/>
      <w:r w:rsidRPr="00737108">
        <w:rPr>
          <w:rFonts w:ascii="Poppins" w:hAnsi="Poppins" w:cs="Poppins"/>
          <w:color w:val="0B4E3B"/>
        </w:rPr>
        <w:t xml:space="preserve"> abituati anche dallo Stato a ricevere il bonus</w:t>
      </w:r>
      <w:proofErr w:type="gramStart"/>
      <w:r w:rsidRPr="00737108">
        <w:rPr>
          <w:rFonts w:ascii="Poppins" w:hAnsi="Poppins" w:cs="Poppins"/>
          <w:color w:val="0B4E3B"/>
        </w:rPr>
        <w:t xml:space="preserve">. </w:t>
      </w:r>
      <w:r w:rsidRPr="00737108">
        <w:rPr>
          <w:rFonts w:ascii="Poppins" w:hAnsi="Poppins" w:cs="Poppins"/>
        </w:rPr>
        <w:t>»</w:t>
      </w:r>
      <w:proofErr w:type="gramEnd"/>
      <w:r w:rsidRPr="00737108">
        <w:rPr>
          <w:rFonts w:ascii="Poppins" w:hAnsi="Poppins" w:cs="Poppins"/>
        </w:rPr>
        <w:t>, Fornitore ibrido E]</w:t>
      </w:r>
    </w:p>
    <w:p w14:paraId="676622D4" w14:textId="77777777" w:rsidR="001D0BC5" w:rsidRPr="00737108" w:rsidRDefault="001D0BC5" w:rsidP="00737108">
      <w:pPr>
        <w:jc w:val="both"/>
        <w:rPr>
          <w:rFonts w:ascii="Poppins" w:hAnsi="Poppins" w:cs="Poppins"/>
          <w:lang w:val="en-GB"/>
        </w:rPr>
      </w:pPr>
      <w:r w:rsidRPr="00737108">
        <w:rPr>
          <w:rFonts w:ascii="Poppins" w:hAnsi="Poppins" w:cs="Poppins"/>
          <w:lang w:val="en-GB"/>
        </w:rPr>
        <w:t>In questo contesto, i lavoratori tendono a utilizzare le piattaforme di welfare per risparmiare denaro sulle spese quotidiane e poi utilizzare il denaro risparmiato per acquistare servizi di assistenza, previdenza o assistenza al di fuori del sistema aziendale per sé stessi o per le proprie famiglie.</w:t>
      </w:r>
    </w:p>
    <w:p w14:paraId="545308AA" w14:textId="77777777" w:rsidR="001D0BC5" w:rsidRPr="00737108" w:rsidRDefault="001D0BC5" w:rsidP="00737108">
      <w:pPr>
        <w:jc w:val="both"/>
        <w:rPr>
          <w:rFonts w:ascii="Poppins" w:hAnsi="Poppins" w:cs="Poppins"/>
          <w:lang w:val="en-GB"/>
        </w:rPr>
      </w:pPr>
      <w:r w:rsidRPr="00737108">
        <w:rPr>
          <w:rFonts w:ascii="Poppins" w:hAnsi="Poppins" w:cs="Poppins"/>
          <w:lang w:val="en-GB"/>
        </w:rPr>
        <w:t>Questo comportamento contribuisce a creare un divario persistente tra le esigenze dichiarate dai lavoratori – spesso espresse durante sessioni di formazione o valutazioni dei bisogni – e le loro effettive scelte sulla piattaforma. Un intervistato ha riassunto la questione con una metafora efficace: "Non si va a cercare un lago in mezzo al deserto".</w:t>
      </w:r>
    </w:p>
    <w:p w14:paraId="10803FF2" w14:textId="77777777" w:rsidR="001D0BC5" w:rsidRPr="00737108" w:rsidRDefault="001D0BC5" w:rsidP="00737108">
      <w:pPr>
        <w:ind w:left="720"/>
        <w:jc w:val="both"/>
        <w:rPr>
          <w:rFonts w:ascii="Poppins" w:hAnsi="Poppins" w:cs="Poppins"/>
          <w:lang w:val="en-GB"/>
        </w:rPr>
      </w:pPr>
      <w:proofErr w:type="gramStart"/>
      <w:r w:rsidRPr="00737108">
        <w:rPr>
          <w:rFonts w:ascii="Poppins" w:hAnsi="Poppins" w:cs="Poppins"/>
        </w:rPr>
        <w:t xml:space="preserve">[« </w:t>
      </w:r>
      <w:r w:rsidRPr="00737108">
        <w:rPr>
          <w:rFonts w:ascii="Poppins" w:hAnsi="Poppins" w:cs="Poppins"/>
          <w:color w:val="0B4E3B"/>
        </w:rPr>
        <w:t>Tu</w:t>
      </w:r>
      <w:proofErr w:type="gramEnd"/>
      <w:r w:rsidRPr="00737108">
        <w:rPr>
          <w:rFonts w:ascii="Poppins" w:hAnsi="Poppins" w:cs="Poppins"/>
          <w:color w:val="0B4E3B"/>
        </w:rPr>
        <w:t xml:space="preserve"> non vai nel deserto a cercare un lago. Nella piattaforma di welfare non gli chiediamo un servizio che risolva il suo problema. </w:t>
      </w:r>
      <w:r w:rsidRPr="00737108">
        <w:rPr>
          <w:rFonts w:ascii="Poppins" w:hAnsi="Poppins" w:cs="Poppins"/>
          <w:color w:val="0B4E3B"/>
          <w:lang w:val="en-GB"/>
        </w:rPr>
        <w:t xml:space="preserve">Dammi i soldi, ci penso io! </w:t>
      </w:r>
      <w:proofErr w:type="gramStart"/>
      <w:r w:rsidRPr="00737108">
        <w:rPr>
          <w:rFonts w:ascii="Poppins" w:hAnsi="Poppins" w:cs="Poppins"/>
          <w:lang w:val="en-GB"/>
        </w:rPr>
        <w:t>» ,</w:t>
      </w:r>
      <w:proofErr w:type="gramEnd"/>
      <w:r w:rsidRPr="00737108">
        <w:rPr>
          <w:rFonts w:ascii="Poppins" w:hAnsi="Poppins" w:cs="Poppins"/>
          <w:lang w:val="en-GB"/>
        </w:rPr>
        <w:t xml:space="preserve"> Fornitore ibrido E]</w:t>
      </w:r>
    </w:p>
    <w:p w14:paraId="2321E6C1" w14:textId="77777777" w:rsidR="001D0BC5" w:rsidRPr="00737108" w:rsidRDefault="001D0BC5" w:rsidP="00737108">
      <w:pPr>
        <w:jc w:val="both"/>
        <w:rPr>
          <w:rFonts w:ascii="Poppins" w:hAnsi="Poppins" w:cs="Poppins"/>
          <w:lang w:val="en-GB"/>
        </w:rPr>
      </w:pPr>
      <w:r w:rsidRPr="00737108">
        <w:rPr>
          <w:rFonts w:ascii="Poppins" w:hAnsi="Poppins" w:cs="Poppins"/>
          <w:lang w:val="en-GB"/>
        </w:rPr>
        <w:t xml:space="preserve">Il gap informativo non riguarda solo le prestazioni erogate tramite il piano di </w:t>
      </w:r>
      <w:r w:rsidRPr="00737108">
        <w:rPr>
          <w:rFonts w:ascii="Poppins" w:hAnsi="Poppins" w:cs="Poppins"/>
          <w:i/>
          <w:lang w:val="en-GB"/>
        </w:rPr>
        <w:t xml:space="preserve">welfare aziendale </w:t>
      </w:r>
      <w:r w:rsidRPr="00737108">
        <w:rPr>
          <w:rFonts w:ascii="Poppins" w:hAnsi="Poppins" w:cs="Poppins"/>
          <w:lang w:val="en-GB"/>
        </w:rPr>
        <w:t>tramite i fornitori. Le risorse erogate dalle casse malati e dagli enti bilaterali, pur rientrando formalmente nel welfare contrattuale, sono spesso trascurate sia da molte imprese, soprattutto PMI, sia dai loro dipendenti.</w:t>
      </w:r>
    </w:p>
    <w:p w14:paraId="669E4AA9" w14:textId="77777777" w:rsidR="001D0BC5" w:rsidRPr="00737108" w:rsidRDefault="001D0BC5" w:rsidP="00737108">
      <w:pPr>
        <w:jc w:val="both"/>
        <w:rPr>
          <w:rFonts w:ascii="Poppins" w:hAnsi="Poppins" w:cs="Poppins"/>
          <w:lang w:val="en-GB"/>
        </w:rPr>
      </w:pPr>
      <w:r w:rsidRPr="00737108">
        <w:rPr>
          <w:rFonts w:ascii="Poppins" w:hAnsi="Poppins" w:cs="Poppins"/>
          <w:lang w:val="en-GB"/>
        </w:rPr>
        <w:t>Il risultato è una notevole quantità di prestazioni non richieste, già versate da aziende e lavoratori.</w:t>
      </w:r>
    </w:p>
    <w:p w14:paraId="61A31959" w14:textId="77777777" w:rsidR="001D0BC5" w:rsidRPr="00737108" w:rsidRDefault="001D0BC5" w:rsidP="00737108">
      <w:pPr>
        <w:jc w:val="both"/>
        <w:rPr>
          <w:rFonts w:ascii="Poppins" w:hAnsi="Poppins" w:cs="Poppins"/>
          <w:lang w:val="en-GB"/>
        </w:rPr>
      </w:pPr>
      <w:r w:rsidRPr="00737108">
        <w:rPr>
          <w:rFonts w:ascii="Poppins" w:hAnsi="Poppins" w:cs="Poppins"/>
          <w:lang w:val="en-GB"/>
        </w:rPr>
        <w:lastRenderedPageBreak/>
        <w:t>Alcuni dei fornitori intervistati offrono servizi specializzati o strumenti integrati nella piattaforma progettati per collegare le indennità di assistenza sociale con queste disposizioni contrattuali di assistenza sociale e bonus pubblici, fornendo servizi informativi che aiutano a ridurre i benefici non richiesti e ad aumentare il valore percepito dai beneficiari.</w:t>
      </w:r>
    </w:p>
    <w:p w14:paraId="70317951" w14:textId="77777777" w:rsidR="007A39E0" w:rsidRPr="00737108" w:rsidRDefault="007A39E0" w:rsidP="00737108">
      <w:pPr>
        <w:pStyle w:val="Titolo2"/>
        <w:jc w:val="both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</w:p>
    <w:sectPr w:rsidR="007A39E0" w:rsidRPr="0073710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FA1AA" w14:textId="77777777" w:rsidR="00F421C8" w:rsidRDefault="00F421C8" w:rsidP="0079697F">
      <w:r>
        <w:separator/>
      </w:r>
    </w:p>
  </w:endnote>
  <w:endnote w:type="continuationSeparator" w:id="0">
    <w:p w14:paraId="6E3F8C98" w14:textId="77777777" w:rsidR="00F421C8" w:rsidRDefault="00F421C8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312F1" w14:textId="77777777" w:rsidR="00F421C8" w:rsidRDefault="00F421C8" w:rsidP="0079697F">
      <w:r>
        <w:separator/>
      </w:r>
    </w:p>
  </w:footnote>
  <w:footnote w:type="continuationSeparator" w:id="0">
    <w:p w14:paraId="047AD463" w14:textId="77777777" w:rsidR="00F421C8" w:rsidRDefault="00F421C8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B585F"/>
    <w:multiLevelType w:val="multilevel"/>
    <w:tmpl w:val="EA48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F541D"/>
    <w:multiLevelType w:val="hybridMultilevel"/>
    <w:tmpl w:val="385452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2"/>
  </w:num>
  <w:num w:numId="2" w16cid:durableId="499663861">
    <w:abstractNumId w:val="1"/>
  </w:num>
  <w:num w:numId="3" w16cid:durableId="2102945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23DFC"/>
    <w:rsid w:val="0005490A"/>
    <w:rsid w:val="000D55C8"/>
    <w:rsid w:val="001108E7"/>
    <w:rsid w:val="001268BF"/>
    <w:rsid w:val="001D0BC5"/>
    <w:rsid w:val="001F2272"/>
    <w:rsid w:val="002F6176"/>
    <w:rsid w:val="004C1BB9"/>
    <w:rsid w:val="004C207B"/>
    <w:rsid w:val="00545AD2"/>
    <w:rsid w:val="00631427"/>
    <w:rsid w:val="00737108"/>
    <w:rsid w:val="00775CAA"/>
    <w:rsid w:val="0079697F"/>
    <w:rsid w:val="007A39E0"/>
    <w:rsid w:val="00806D9D"/>
    <w:rsid w:val="00854359"/>
    <w:rsid w:val="008D1363"/>
    <w:rsid w:val="009770E2"/>
    <w:rsid w:val="00A0407F"/>
    <w:rsid w:val="00A42980"/>
    <w:rsid w:val="00A560ED"/>
    <w:rsid w:val="00AE6E0D"/>
    <w:rsid w:val="00B72DDC"/>
    <w:rsid w:val="00BB3C6F"/>
    <w:rsid w:val="00C72F59"/>
    <w:rsid w:val="00CF3DA8"/>
    <w:rsid w:val="00DA4184"/>
    <w:rsid w:val="00DF7665"/>
    <w:rsid w:val="00F35BB5"/>
    <w:rsid w:val="00F421C8"/>
    <w:rsid w:val="00F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9E0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table" w:styleId="Grigliatabella">
    <w:name w:val="Table Grid"/>
    <w:basedOn w:val="Tabellanormale"/>
    <w:uiPriority w:val="39"/>
    <w:rsid w:val="00A560ED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Testonotaapidipagina">
    <w:name w:val="footnote text"/>
    <w:basedOn w:val="Normale"/>
    <w:link w:val="TestonotaapidipaginaCarattere"/>
    <w:uiPriority w:val="99"/>
    <w:unhideWhenUsed/>
    <w:rsid w:val="00A560ED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560ED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560ED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A560ED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  <w:style w:type="paragraph" w:styleId="Nessunaspaziatura">
    <w:name w:val="No Spacing"/>
    <w:basedOn w:val="Normale"/>
    <w:link w:val="NessunaspaziaturaCarattere"/>
    <w:uiPriority w:val="1"/>
    <w:qFormat/>
    <w:rsid w:val="001108E7"/>
    <w:pPr>
      <w:spacing w:after="0" w:line="240" w:lineRule="auto"/>
      <w:jc w:val="both"/>
    </w:pPr>
    <w:rPr>
      <w:rFonts w:ascii="Poppins" w:eastAsiaTheme="minorEastAsia" w:hAnsi="Poppins" w:cstheme="minorBidi"/>
      <w:sz w:val="16"/>
      <w:szCs w:val="2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108E7"/>
    <w:rPr>
      <w:rFonts w:ascii="Poppins" w:eastAsiaTheme="minorEastAsia" w:hAnsi="Poppins"/>
      <w:kern w:val="0"/>
      <w:sz w:val="16"/>
      <w:szCs w:val="20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18</cp:revision>
  <dcterms:created xsi:type="dcterms:W3CDTF">2025-09-29T20:31:00Z</dcterms:created>
  <dcterms:modified xsi:type="dcterms:W3CDTF">2025-10-02T08:48:00Z</dcterms:modified>
</cp:coreProperties>
</file>