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61D85" w14:textId="77777777" w:rsidR="00023DFC" w:rsidRPr="006C3462" w:rsidRDefault="00023DFC" w:rsidP="006C3462">
      <w:pPr>
        <w:pStyle w:val="Titolo2"/>
        <w:ind w:left="360"/>
        <w:jc w:val="center"/>
        <w:rPr>
          <w:rFonts w:ascii="Poppins" w:hAnsi="Poppins" w:cs="Poppins"/>
          <w:color w:val="124F1A" w:themeColor="accent3" w:themeShade="BF"/>
          <w:sz w:val="36"/>
          <w:szCs w:val="36"/>
          <w:lang w:val="en-GB"/>
        </w:rPr>
      </w:pPr>
      <w:bookmarkStart w:id="0" w:name="_Toc199964135"/>
      <w:bookmarkStart w:id="1" w:name="_Toc187013342"/>
      <w:bookmarkStart w:id="2" w:name="_Toc188269369"/>
      <w:bookmarkStart w:id="3" w:name="_Toc188282630"/>
    </w:p>
    <w:bookmarkEnd w:id="0"/>
    <w:bookmarkEnd w:id="1"/>
    <w:bookmarkEnd w:id="2"/>
    <w:bookmarkEnd w:id="3"/>
    <w:p w14:paraId="237F4E26" w14:textId="77777777" w:rsidR="006C3462" w:rsidRDefault="006C3462" w:rsidP="006C3462">
      <w:pPr>
        <w:pStyle w:val="Titolo4"/>
        <w:jc w:val="center"/>
        <w:rPr>
          <w:rFonts w:ascii="Poppins" w:hAnsi="Poppins" w:cs="Poppins"/>
          <w:i w:val="0"/>
          <w:iCs w:val="0"/>
          <w:color w:val="124F1A" w:themeColor="accent3" w:themeShade="BF"/>
          <w:sz w:val="36"/>
          <w:szCs w:val="36"/>
          <w:lang w:val="en-GB"/>
        </w:rPr>
      </w:pPr>
      <w:r w:rsidRPr="006C3462">
        <w:rPr>
          <w:rFonts w:ascii="Poppins" w:hAnsi="Poppins" w:cs="Poppins"/>
          <w:i w:val="0"/>
          <w:iCs w:val="0"/>
          <w:color w:val="124F1A" w:themeColor="accent3" w:themeShade="BF"/>
          <w:sz w:val="36"/>
          <w:szCs w:val="36"/>
          <w:lang w:val="en-GB"/>
        </w:rPr>
        <w:t>Continuità di accesso al Welfare Aziendale dopo il pensionamento.</w:t>
      </w:r>
    </w:p>
    <w:p w14:paraId="33495C7A" w14:textId="77777777" w:rsidR="006C3462" w:rsidRPr="006C3462" w:rsidRDefault="006C3462" w:rsidP="006C3462">
      <w:pPr>
        <w:rPr>
          <w:lang w:val="en-GB"/>
        </w:rPr>
      </w:pPr>
    </w:p>
    <w:p w14:paraId="65E5CA6A" w14:textId="77777777" w:rsidR="006C3462" w:rsidRPr="006C3462" w:rsidRDefault="006C3462" w:rsidP="006C3462">
      <w:pPr>
        <w:jc w:val="both"/>
        <w:rPr>
          <w:rFonts w:ascii="Poppins" w:hAnsi="Poppins" w:cs="Poppins"/>
          <w:lang w:val="en-GB"/>
        </w:rPr>
      </w:pPr>
      <w:r w:rsidRPr="006C3462">
        <w:rPr>
          <w:rFonts w:ascii="Poppins" w:hAnsi="Poppins" w:cs="Poppins"/>
          <w:lang w:val="en-GB"/>
        </w:rPr>
        <w:t xml:space="preserve">Gli intervistati hanno riconosciuto l'interruzione dell'accesso ai sistemi </w:t>
      </w:r>
      <w:r w:rsidRPr="006C3462">
        <w:rPr>
          <w:rFonts w:ascii="Poppins" w:hAnsi="Poppins" w:cs="Poppins"/>
          <w:i/>
          <w:lang w:val="en-GB"/>
        </w:rPr>
        <w:t xml:space="preserve">di welfare aziendale </w:t>
      </w:r>
      <w:r w:rsidRPr="006C3462">
        <w:rPr>
          <w:rFonts w:ascii="Poppins" w:hAnsi="Poppins" w:cs="Poppins"/>
          <w:lang w:val="en-GB"/>
        </w:rPr>
        <w:t>dopo la fine del rapporto di lavoro come un problema evidente ma problematico. Diversi intervistati hanno sottolineato che il pensionamento comporta non solo una naturale riduzione del reddito, ma anche una perdita improvvisa di accesso a misure e servizi di sostegno al reddito che erano stati precedentemente garantiti, insieme a strumenti semplificati per la gestione dei bisogni, con cui l'individuo aveva acquisito familiarità.</w:t>
      </w:r>
    </w:p>
    <w:p w14:paraId="3B9330B4" w14:textId="0C4AF5EC" w:rsidR="006C3462" w:rsidRPr="006C3462" w:rsidRDefault="006C3462" w:rsidP="006C3462">
      <w:pPr>
        <w:ind w:left="720"/>
        <w:jc w:val="both"/>
        <w:rPr>
          <w:rFonts w:ascii="Poppins" w:hAnsi="Poppins" w:cs="Poppins"/>
        </w:rPr>
      </w:pPr>
      <w:r w:rsidRPr="006C3462">
        <w:rPr>
          <w:rFonts w:ascii="Poppins" w:hAnsi="Poppins" w:cs="Poppins"/>
        </w:rPr>
        <w:t>[«</w:t>
      </w:r>
      <w:r w:rsidRPr="006C3462">
        <w:rPr>
          <w:rFonts w:ascii="Poppins" w:hAnsi="Poppins" w:cs="Poppins"/>
          <w:color w:val="0B4E3B"/>
        </w:rPr>
        <w:t>Finisco di lavorare, vado in pensione, e tutto quello che avevo lo perso... perdo anche tutto questo mondo</w:t>
      </w:r>
      <w:r w:rsidRPr="006C3462">
        <w:rPr>
          <w:rFonts w:ascii="Poppins" w:hAnsi="Poppins" w:cs="Poppins"/>
        </w:rPr>
        <w:t>», System Integrator (Digital) B].</w:t>
      </w:r>
    </w:p>
    <w:p w14:paraId="18C04E52" w14:textId="66D23307" w:rsidR="006C3462" w:rsidRPr="006C3462" w:rsidRDefault="006C3462" w:rsidP="006C3462">
      <w:pPr>
        <w:ind w:left="720"/>
        <w:jc w:val="both"/>
        <w:rPr>
          <w:rFonts w:ascii="Poppins" w:hAnsi="Poppins" w:cs="Poppins"/>
        </w:rPr>
      </w:pPr>
      <w:r w:rsidRPr="006C3462">
        <w:rPr>
          <w:rFonts w:ascii="Poppins" w:hAnsi="Poppins" w:cs="Poppins"/>
        </w:rPr>
        <w:t>[«</w:t>
      </w:r>
      <w:r w:rsidRPr="006C3462">
        <w:rPr>
          <w:rFonts w:ascii="Poppins" w:hAnsi="Poppins" w:cs="Poppins"/>
          <w:color w:val="0B4E3B"/>
        </w:rPr>
        <w:t>Nel momento di maggior bisogno, non hai più quella protezione né di natura sanitaria, né di natura socioassistenziale, e ti trovi nella giungla nel mercato</w:t>
      </w:r>
      <w:r w:rsidRPr="006C3462">
        <w:rPr>
          <w:rFonts w:ascii="Poppins" w:hAnsi="Poppins" w:cs="Poppins"/>
        </w:rPr>
        <w:t>», System Integrator (</w:t>
      </w:r>
      <w:r w:rsidR="00A06C01">
        <w:rPr>
          <w:rFonts w:ascii="Poppins" w:hAnsi="Poppins" w:cs="Poppins"/>
        </w:rPr>
        <w:t>Territoriale</w:t>
      </w:r>
      <w:r w:rsidRPr="006C3462">
        <w:rPr>
          <w:rFonts w:ascii="Poppins" w:hAnsi="Poppins" w:cs="Poppins"/>
        </w:rPr>
        <w:t>) B].</w:t>
      </w:r>
    </w:p>
    <w:p w14:paraId="24896CF8" w14:textId="77777777" w:rsidR="006C3462" w:rsidRPr="006C3462" w:rsidRDefault="006C3462" w:rsidP="006C3462">
      <w:pPr>
        <w:jc w:val="both"/>
        <w:rPr>
          <w:rFonts w:ascii="Poppins" w:hAnsi="Poppins" w:cs="Poppins"/>
          <w:lang w:val="en-GB"/>
        </w:rPr>
      </w:pPr>
      <w:r w:rsidRPr="006C3462">
        <w:rPr>
          <w:rFonts w:ascii="Poppins" w:hAnsi="Poppins" w:cs="Poppins"/>
          <w:lang w:val="en-GB"/>
        </w:rPr>
        <w:t>I resoconti delle interviste rivelano due ostacoli ricorrenti che impediscono una transizione graduale.</w:t>
      </w:r>
    </w:p>
    <w:p w14:paraId="47261D04" w14:textId="28FC8B0E" w:rsidR="006C3462" w:rsidRPr="006C3462" w:rsidRDefault="006C3462" w:rsidP="006C3462">
      <w:pPr>
        <w:jc w:val="both"/>
        <w:rPr>
          <w:rFonts w:ascii="Poppins" w:hAnsi="Poppins" w:cs="Poppins"/>
          <w:lang w:val="en-GB"/>
        </w:rPr>
      </w:pPr>
      <w:r w:rsidRPr="006C3462">
        <w:rPr>
          <w:rFonts w:ascii="Poppins" w:hAnsi="Poppins" w:cs="Poppins"/>
          <w:lang w:val="en-GB"/>
        </w:rPr>
        <w:t>In primo luogo, l'assenza di un quadro normativo che incentivi i datori di lavoro a continuare ad erogare credito dopo il pensionamento: l'articolo 51 del TUIR non include i pensionati tra i beneficiari aventi diritto, rendendo la prosecuzione dell'erogazione fiscalmente poco attraente, anche per le aziende più generose.</w:t>
      </w:r>
    </w:p>
    <w:p w14:paraId="1C3401C4" w14:textId="77777777" w:rsidR="006C3462" w:rsidRPr="006C3462" w:rsidRDefault="006C3462" w:rsidP="006C3462">
      <w:pPr>
        <w:jc w:val="both"/>
        <w:rPr>
          <w:rFonts w:ascii="Poppins" w:hAnsi="Poppins" w:cs="Poppins"/>
          <w:lang w:val="en-GB"/>
        </w:rPr>
      </w:pPr>
      <w:r w:rsidRPr="006C3462">
        <w:rPr>
          <w:rFonts w:ascii="Poppins" w:hAnsi="Poppins" w:cs="Poppins"/>
          <w:lang w:val="en-GB"/>
        </w:rPr>
        <w:t>In secondo luogo, la mancanza di infrastrutture tecniche: molte piattaforme non supportano conti “extra-aziendali” o la trasferibilità del credito accumulato.</w:t>
      </w:r>
    </w:p>
    <w:p w14:paraId="1234717B" w14:textId="77777777" w:rsidR="006C3462" w:rsidRPr="006C3462" w:rsidRDefault="006C3462" w:rsidP="006C3462">
      <w:pPr>
        <w:jc w:val="both"/>
        <w:rPr>
          <w:rFonts w:ascii="Poppins" w:hAnsi="Poppins" w:cs="Poppins"/>
          <w:lang w:val="en-GB"/>
        </w:rPr>
      </w:pPr>
      <w:r w:rsidRPr="006C3462">
        <w:rPr>
          <w:rFonts w:ascii="Poppins" w:hAnsi="Poppins" w:cs="Poppins"/>
          <w:lang w:val="en-GB"/>
        </w:rPr>
        <w:t xml:space="preserve">In risposta a questa “frattura”, le interviste hanno esplorato modelli e prospettive che, pur non riuscendo a replicare </w:t>
      </w:r>
      <w:r w:rsidRPr="006C3462">
        <w:rPr>
          <w:rFonts w:ascii="Poppins" w:hAnsi="Poppins" w:cs="Poppins"/>
          <w:i/>
          <w:lang w:val="en-GB"/>
        </w:rPr>
        <w:t xml:space="preserve">il welfare aziendale </w:t>
      </w:r>
      <w:r w:rsidRPr="006C3462">
        <w:rPr>
          <w:rFonts w:ascii="Poppins" w:hAnsi="Poppins" w:cs="Poppins"/>
          <w:lang w:val="en-GB"/>
        </w:rPr>
        <w:t>nella sua forma esatta per i pensionati, offrono potenziali percorsi per garantire un certo grado di continuità nel supporto e nell’accesso ai servizi dopo la fine della vita lavorativa.</w:t>
      </w:r>
    </w:p>
    <w:p w14:paraId="00F234C8" w14:textId="77777777" w:rsidR="006C3462" w:rsidRPr="006C3462" w:rsidRDefault="006C3462" w:rsidP="006C3462">
      <w:pPr>
        <w:jc w:val="both"/>
        <w:rPr>
          <w:rFonts w:ascii="Poppins" w:hAnsi="Poppins" w:cs="Poppins"/>
          <w:lang w:val="en-GB"/>
        </w:rPr>
      </w:pPr>
      <w:r w:rsidRPr="006C3462">
        <w:rPr>
          <w:rFonts w:ascii="Poppins" w:hAnsi="Poppins" w:cs="Poppins"/>
          <w:lang w:val="en-GB"/>
        </w:rPr>
        <w:t>In particolare, alcuni integratori di sistema propongono una visione dell'azienda non solo come luogo di lavoro, ma come una comunità di relazioni e cura, in cui il piano di welfare aziendale funge da polo per l'accesso a misure di benessere e solidarietà che si collegano ai sistemi di welfare pubblici e locali.</w:t>
      </w:r>
    </w:p>
    <w:p w14:paraId="66DF9FDD" w14:textId="77777777" w:rsidR="006C3462" w:rsidRPr="006C3462" w:rsidRDefault="006C3462" w:rsidP="006C3462">
      <w:pPr>
        <w:jc w:val="both"/>
        <w:rPr>
          <w:rFonts w:ascii="Poppins" w:hAnsi="Poppins" w:cs="Poppins"/>
          <w:lang w:val="en-GB"/>
        </w:rPr>
      </w:pPr>
      <w:r w:rsidRPr="006C3462">
        <w:rPr>
          <w:rFonts w:ascii="Poppins" w:hAnsi="Poppins" w:cs="Poppins"/>
          <w:lang w:val="en-GB"/>
        </w:rPr>
        <w:lastRenderedPageBreak/>
        <w:t>Nella pratica, si stanno sperimentando accordi territoriali che consentono agli ex dipendenti di sperimentare un senso di continuità, sia rimanendo all'interno di una rete di servizi offerti a tariffe agevolate, sia mantenendo l'accesso ai canali informativi riguardanti bonus e diritti nazionali, regionali o comunali.</w:t>
      </w:r>
    </w:p>
    <w:p w14:paraId="2C04DEDE" w14:textId="77777777" w:rsidR="006C3462" w:rsidRPr="006C3462" w:rsidRDefault="006C3462" w:rsidP="006C3462">
      <w:pPr>
        <w:jc w:val="both"/>
        <w:rPr>
          <w:rFonts w:ascii="Poppins" w:hAnsi="Poppins" w:cs="Poppins"/>
          <w:lang w:val="en-GB"/>
        </w:rPr>
      </w:pPr>
      <w:r w:rsidRPr="006C3462">
        <w:rPr>
          <w:rFonts w:ascii="Poppins" w:hAnsi="Poppins" w:cs="Poppins"/>
          <w:lang w:val="en-GB"/>
        </w:rPr>
        <w:t>Diversi integratori di sistema hanno sviluppato strumenti tecnologici in grado di mappare le prestazioni di welfare disponibili sotto forma di bonus pubblici e servizi degli enti bilaterali, con l'obiettivo di offrire ai beneficiari un mezzo efficiente per accedere a diritti che spesso non vengono reclamati.</w:t>
      </w:r>
    </w:p>
    <w:p w14:paraId="51E6BA12" w14:textId="77777777" w:rsidR="006C3462" w:rsidRPr="006C3462" w:rsidRDefault="006C3462" w:rsidP="006C3462">
      <w:pPr>
        <w:jc w:val="both"/>
        <w:rPr>
          <w:rFonts w:ascii="Poppins" w:hAnsi="Poppins" w:cs="Poppins"/>
          <w:lang w:val="en-GB"/>
        </w:rPr>
      </w:pPr>
      <w:r w:rsidRPr="006C3462">
        <w:rPr>
          <w:rFonts w:ascii="Poppins" w:hAnsi="Poppins" w:cs="Poppins"/>
          <w:lang w:val="en-GB"/>
        </w:rPr>
        <w:t xml:space="preserve">Alcuni provider si avvalgono di questi sistemi per ampliare il proprio catalogo di </w:t>
      </w:r>
      <w:r w:rsidRPr="006C3462">
        <w:rPr>
          <w:rFonts w:ascii="Poppins" w:hAnsi="Poppins" w:cs="Poppins"/>
          <w:i/>
          <w:lang w:val="en-GB"/>
        </w:rPr>
        <w:t xml:space="preserve">welfare aziendale </w:t>
      </w:r>
      <w:r w:rsidRPr="006C3462">
        <w:rPr>
          <w:rFonts w:ascii="Poppins" w:hAnsi="Poppins" w:cs="Poppins"/>
          <w:lang w:val="en-GB"/>
        </w:rPr>
        <w:t>con servizi che non richiedono contributi finanziari da parte dell'azienda cliente, ma solo il costo di un servizio informativo. Altri segnalano di aver sviluppato internamente strumenti simili.</w:t>
      </w:r>
    </w:p>
    <w:p w14:paraId="1B7D3310" w14:textId="77777777" w:rsidR="006C3462" w:rsidRPr="006C3462" w:rsidRDefault="006C3462" w:rsidP="006C3462">
      <w:pPr>
        <w:jc w:val="both"/>
        <w:rPr>
          <w:rFonts w:ascii="Poppins" w:hAnsi="Poppins" w:cs="Poppins"/>
          <w:lang w:val="en-GB"/>
        </w:rPr>
      </w:pPr>
      <w:r w:rsidRPr="006C3462">
        <w:rPr>
          <w:rFonts w:ascii="Poppins" w:hAnsi="Poppins" w:cs="Poppins"/>
          <w:lang w:val="en-GB"/>
        </w:rPr>
        <w:t>Queste risorse sono, per loro natura, accessibili a tutti i cittadini, indipendentemente dalla loro condizione lavorativa, compresi i pensionati. Tuttavia, l'accesso a tali strumenti informativi tramite il canale aziendale viene in genere interrotto al termine del rapporto di lavoro.</w:t>
      </w:r>
    </w:p>
    <w:p w14:paraId="2D1C9D38" w14:textId="77777777" w:rsidR="006C3462" w:rsidRPr="006C3462" w:rsidRDefault="006C3462" w:rsidP="006C3462">
      <w:pPr>
        <w:jc w:val="both"/>
        <w:rPr>
          <w:rFonts w:ascii="Poppins" w:hAnsi="Poppins" w:cs="Poppins"/>
          <w:lang w:val="en-GB"/>
        </w:rPr>
      </w:pPr>
      <w:r w:rsidRPr="006C3462">
        <w:rPr>
          <w:rFonts w:ascii="Poppins" w:hAnsi="Poppins" w:cs="Poppins"/>
          <w:lang w:val="en-GB"/>
        </w:rPr>
        <w:t>La possibilità di mantenere l’accesso dipende dallo specifico modello di business implementato dal fornitore di welfare, da un’iniziativa “on top” del datore di lavoro o dall’esistenza di un accordo territoriale dedicato.</w:t>
      </w:r>
    </w:p>
    <w:p w14:paraId="3DC82DDC" w14:textId="77777777" w:rsidR="006C3462" w:rsidRPr="006C3462" w:rsidRDefault="006C3462" w:rsidP="006C3462">
      <w:pPr>
        <w:jc w:val="both"/>
        <w:rPr>
          <w:rFonts w:ascii="Poppins" w:hAnsi="Poppins" w:cs="Poppins"/>
          <w:lang w:val="en-GB"/>
        </w:rPr>
      </w:pPr>
      <w:r w:rsidRPr="006C3462">
        <w:rPr>
          <w:rFonts w:ascii="Poppins" w:hAnsi="Poppins" w:cs="Poppins"/>
          <w:lang w:val="en-GB"/>
        </w:rPr>
        <w:t>In un caso segnalato da un intervistato, è stata l'azienda stessa a richiedere che gli account dei propri dipendenti in pensione rimanessero attivi, specificamente per mantenere l'accesso a quella categoria di servizi. Più comunemente, i pensionati sono incoraggiati a registrarsi con un account personale in sostituzione di quello aziendale disattivato, con accesso offerto tramite un abbonamento a una tariffa ridotta rispetto a un servizio individuale standard.</w:t>
      </w:r>
    </w:p>
    <w:p w14:paraId="43941375" w14:textId="7B6F670F" w:rsidR="006C3462" w:rsidRPr="006C3462" w:rsidRDefault="006C3462" w:rsidP="006C3462">
      <w:pPr>
        <w:jc w:val="both"/>
        <w:rPr>
          <w:rFonts w:ascii="Poppins" w:hAnsi="Poppins" w:cs="Poppins"/>
          <w:lang w:val="en-GB"/>
        </w:rPr>
      </w:pPr>
      <w:r w:rsidRPr="006C3462">
        <w:rPr>
          <w:rFonts w:ascii="Poppins" w:hAnsi="Poppins" w:cs="Poppins"/>
          <w:lang w:val="en-GB"/>
        </w:rPr>
        <w:t xml:space="preserve">In altri casi, l'offerta di servizi non è affatto legata al conto aziendale, ma a un conto personale che consente l'accesso non solo al credito di </w:t>
      </w:r>
      <w:r w:rsidRPr="006C3462">
        <w:rPr>
          <w:rFonts w:ascii="Poppins" w:hAnsi="Poppins" w:cs="Poppins"/>
          <w:i/>
          <w:iCs/>
          <w:lang w:val="en-GB"/>
        </w:rPr>
        <w:t xml:space="preserve">welfare aziendale </w:t>
      </w:r>
      <w:r w:rsidRPr="006C3462">
        <w:rPr>
          <w:rFonts w:ascii="Poppins" w:hAnsi="Poppins" w:cs="Poppins"/>
          <w:lang w:val="en-GB"/>
        </w:rPr>
        <w:t>erogato dall'azienda, ma anche a servizi definiti all'interno di una rete territoriale locale. Questo modello garantisce la continuità di accesso ai servizi, anche senza la garanzia di un finanziamento continuativo da parte dell'ex datore di lavoro. I pensionati possono continuare a utilizzare gli stessi strumenti con cui avevano già familiarità, accedendo ai servizi in modo autonomo, attraverso bonus pubblici disponibili o altre fonti di finanziamento esterne.</w:t>
      </w:r>
    </w:p>
    <w:p w14:paraId="22BB54BC" w14:textId="77777777" w:rsidR="006C3462" w:rsidRPr="006C3462" w:rsidRDefault="006C3462" w:rsidP="006C3462">
      <w:pPr>
        <w:jc w:val="both"/>
        <w:rPr>
          <w:rFonts w:ascii="Poppins" w:hAnsi="Poppins" w:cs="Poppins"/>
          <w:lang w:val="en-GB"/>
        </w:rPr>
      </w:pPr>
      <w:r w:rsidRPr="006C3462">
        <w:rPr>
          <w:rFonts w:ascii="Poppins" w:hAnsi="Poppins" w:cs="Poppins"/>
          <w:lang w:val="en-GB"/>
        </w:rPr>
        <w:t xml:space="preserve">Le interviste hanno inoltre evidenziato alcune rare eccezioni in cui la continuità </w:t>
      </w:r>
      <w:r w:rsidRPr="006C3462">
        <w:rPr>
          <w:rFonts w:ascii="Poppins" w:hAnsi="Poppins" w:cs="Poppins"/>
          <w:i/>
          <w:lang w:val="en-GB"/>
        </w:rPr>
        <w:t xml:space="preserve">del welfare aziendale </w:t>
      </w:r>
      <w:r w:rsidRPr="006C3462">
        <w:rPr>
          <w:rFonts w:ascii="Poppins" w:hAnsi="Poppins" w:cs="Poppins"/>
          <w:lang w:val="en-GB"/>
        </w:rPr>
        <w:t xml:space="preserve">è garantita in modo più strutturato. Un esempio degno di nota è quello di un istituto bancario che, attraverso la sua associazione di dipendenti, estende parte della sua offerta di welfare ai soci pensionati. Ciò è reso possibile da un accordo </w:t>
      </w:r>
      <w:r w:rsidRPr="006C3462">
        <w:rPr>
          <w:rFonts w:ascii="Poppins" w:hAnsi="Poppins" w:cs="Poppins"/>
          <w:lang w:val="en-GB"/>
        </w:rPr>
        <w:lastRenderedPageBreak/>
        <w:t>dedicato con un fornitore che offre un'ampia gamma di servizi in settori legati alla silver economy. Tuttavia, secondo gli intervistati che hanno segnalato il caso, tali accordi sono in genere limitati a società estremamente ricche e sono quindi difficili da scalare o replicare su larga scala.</w:t>
      </w:r>
    </w:p>
    <w:p w14:paraId="07AE72FD" w14:textId="77777777" w:rsidR="006C3462" w:rsidRPr="006C3462" w:rsidRDefault="006C3462" w:rsidP="006C3462">
      <w:pPr>
        <w:jc w:val="both"/>
        <w:rPr>
          <w:rFonts w:ascii="Poppins" w:hAnsi="Poppins" w:cs="Poppins"/>
          <w:lang w:val="en-GB"/>
        </w:rPr>
      </w:pPr>
      <w:r w:rsidRPr="006C3462">
        <w:rPr>
          <w:rFonts w:ascii="Poppins" w:hAnsi="Poppins" w:cs="Poppins"/>
          <w:lang w:val="en-GB"/>
        </w:rPr>
        <w:t xml:space="preserve">Più in generale, </w:t>
      </w:r>
      <w:r w:rsidRPr="006C3462">
        <w:rPr>
          <w:rFonts w:ascii="Poppins" w:hAnsi="Poppins" w:cs="Poppins"/>
          <w:i/>
          <w:iCs/>
          <w:lang w:val="en-GB"/>
        </w:rPr>
        <w:t xml:space="preserve">gli integratori di sistema </w:t>
      </w:r>
      <w:r w:rsidRPr="006C3462">
        <w:rPr>
          <w:rFonts w:ascii="Poppins" w:hAnsi="Poppins" w:cs="Poppins"/>
          <w:lang w:val="en-GB"/>
        </w:rPr>
        <w:t xml:space="preserve">e i provider che inquadrano la propria missione in termini fortemente sociali e territoriali sottolineano che </w:t>
      </w:r>
      <w:r w:rsidRPr="006C3462">
        <w:rPr>
          <w:rFonts w:ascii="Poppins" w:hAnsi="Poppins" w:cs="Poppins"/>
          <w:i/>
          <w:iCs/>
          <w:lang w:val="en-GB"/>
        </w:rPr>
        <w:t xml:space="preserve">il welfare aziendale </w:t>
      </w:r>
      <w:r w:rsidRPr="006C3462">
        <w:rPr>
          <w:rFonts w:ascii="Poppins" w:hAnsi="Poppins" w:cs="Poppins"/>
          <w:lang w:val="en-GB"/>
        </w:rPr>
        <w:t>può e deve contribuire attivamente al rafforzamento dell'infrastruttura di comunità a beneficio di tutti i cittadini che vivono nel territorio aziendale, compresa la popolazione anziana. Questa ambizione si concretizza nell'incentivazione della spesa del credito assistenziale presso esercizi commerciali e servizi di quartiere, nella promozione di progetti di rete a supporto delle strutture di welfare locali (sia direttamente che indirettamente) e nell'attivazione di iniziative di solidarietà che si estendono oltre i confini aziendali.</w:t>
      </w:r>
    </w:p>
    <w:p w14:paraId="4A7DFA59" w14:textId="77777777" w:rsidR="006C3462" w:rsidRPr="006C3462" w:rsidRDefault="006C3462" w:rsidP="006C3462">
      <w:pPr>
        <w:jc w:val="both"/>
        <w:rPr>
          <w:rFonts w:ascii="Poppins" w:hAnsi="Poppins" w:cs="Poppins"/>
          <w:lang w:val="en-GB"/>
        </w:rPr>
      </w:pPr>
      <w:r w:rsidRPr="006C3462">
        <w:rPr>
          <w:rFonts w:ascii="Poppins" w:hAnsi="Poppins" w:cs="Poppins"/>
          <w:lang w:val="en-GB"/>
        </w:rPr>
        <w:t xml:space="preserve">Un esempio significativo di integrazione tra risorse territoriali e </w:t>
      </w:r>
      <w:r w:rsidRPr="006C3462">
        <w:rPr>
          <w:rFonts w:ascii="Poppins" w:hAnsi="Poppins" w:cs="Poppins"/>
          <w:i/>
          <w:iCs/>
          <w:lang w:val="en-GB"/>
        </w:rPr>
        <w:t xml:space="preserve">welfare aziendale </w:t>
      </w:r>
      <w:r w:rsidRPr="006C3462">
        <w:rPr>
          <w:rFonts w:ascii="Poppins" w:hAnsi="Poppins" w:cs="Poppins"/>
          <w:lang w:val="en-GB"/>
        </w:rPr>
        <w:t>nell'ambito della silver economy è una proposta, seppur non ancora attuata, che prevede l'utilizzo di risorse provenienti dai piani di welfare aziendale per supportare lo sviluppo di soluzioni di edilizia sociale volte a promuovere l'autonomia degli anziani, progettate per rispondere ai bisogni specifici che emergono con l'invecchiamento attraverso la creazione di ambienti di vita adeguati.</w:t>
      </w:r>
    </w:p>
    <w:p w14:paraId="5DFA0923" w14:textId="06EF4E14" w:rsidR="006C3462" w:rsidRPr="006C3462" w:rsidRDefault="006C3462" w:rsidP="006C3462">
      <w:pPr>
        <w:jc w:val="both"/>
        <w:rPr>
          <w:rFonts w:ascii="Poppins" w:hAnsi="Poppins" w:cs="Poppins"/>
          <w:lang w:val="en-GB"/>
        </w:rPr>
      </w:pPr>
      <w:r w:rsidRPr="006C3462">
        <w:rPr>
          <w:rFonts w:ascii="Poppins" w:hAnsi="Poppins" w:cs="Poppins"/>
          <w:lang w:val="en-GB"/>
        </w:rPr>
        <w:t xml:space="preserve">Un'iniziativa di questo tipo consentirebbe ai genitori anziani di trasferirsi più vicino al luogo di lavoro dei figli adulti, favorendo così l'equilibrio tra lavoro e vita privata dei dipendenti e alleviando il loro carico assistenziale. Potrebbe contribuire a ridurre la dipendenza dai caregiver familiari e a migliorare la qualità della vita sia degli anziani che dei lavoratori con compiti di cura. Questo approccio riflette una visione del </w:t>
      </w:r>
      <w:r w:rsidRPr="006C3462">
        <w:rPr>
          <w:rFonts w:ascii="Poppins" w:hAnsi="Poppins" w:cs="Poppins"/>
          <w:i/>
          <w:iCs/>
          <w:lang w:val="en-GB"/>
        </w:rPr>
        <w:t xml:space="preserve">welfare aziendale </w:t>
      </w:r>
      <w:r w:rsidRPr="006C3462">
        <w:rPr>
          <w:rFonts w:ascii="Poppins" w:hAnsi="Poppins" w:cs="Poppins"/>
          <w:lang w:val="en-GB"/>
        </w:rPr>
        <w:t>come sistema di supporto che accompagna gli individui lungo tutto il corso della vita e contribuisce alla creazione di un</w:t>
      </w:r>
      <w:r w:rsidR="00A06C01">
        <w:rPr>
          <w:rFonts w:ascii="Poppins" w:hAnsi="Poppins" w:cs="Poppins"/>
          <w:lang w:val="en-GB"/>
        </w:rPr>
        <w:t>’</w:t>
      </w:r>
      <w:r w:rsidRPr="006C3462">
        <w:rPr>
          <w:rFonts w:ascii="Poppins" w:hAnsi="Poppins" w:cs="Poppins"/>
          <w:lang w:val="en-GB"/>
        </w:rPr>
        <w:t>infrastruttura di comunità per una longevità attiva [Integratore di Sistema (Territoriale) C].</w:t>
      </w:r>
    </w:p>
    <w:p w14:paraId="5C3D77A1" w14:textId="77777777" w:rsidR="006C3462" w:rsidRPr="006C3462" w:rsidRDefault="006C3462" w:rsidP="006C3462">
      <w:pPr>
        <w:jc w:val="both"/>
        <w:rPr>
          <w:rFonts w:ascii="Poppins" w:hAnsi="Poppins" w:cs="Poppins"/>
          <w:lang w:val="en-GB"/>
        </w:rPr>
      </w:pPr>
      <w:r w:rsidRPr="006C3462">
        <w:rPr>
          <w:rFonts w:ascii="Poppins" w:hAnsi="Poppins" w:cs="Poppins"/>
          <w:lang w:val="en-GB"/>
        </w:rPr>
        <w:br w:type="page"/>
      </w:r>
    </w:p>
    <w:p w14:paraId="70317951" w14:textId="77777777" w:rsidR="007A39E0" w:rsidRPr="006C3462" w:rsidRDefault="007A39E0" w:rsidP="006C3462">
      <w:pPr>
        <w:pStyle w:val="Titolo2"/>
        <w:jc w:val="both"/>
        <w:rPr>
          <w:rFonts w:ascii="Poppins" w:hAnsi="Poppins" w:cs="Poppins"/>
          <w:color w:val="124F1A" w:themeColor="accent3" w:themeShade="BF"/>
          <w:sz w:val="22"/>
          <w:szCs w:val="22"/>
          <w:lang w:val="en-GB"/>
        </w:rPr>
      </w:pPr>
    </w:p>
    <w:sectPr w:rsidR="007A39E0" w:rsidRPr="006C3462">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13213" w14:textId="77777777" w:rsidR="003E40A6" w:rsidRDefault="003E40A6" w:rsidP="0079697F">
      <w:r>
        <w:separator/>
      </w:r>
    </w:p>
  </w:endnote>
  <w:endnote w:type="continuationSeparator" w:id="0">
    <w:p w14:paraId="3637D852" w14:textId="77777777" w:rsidR="003E40A6" w:rsidRDefault="003E40A6" w:rsidP="00796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1E5AA" w14:textId="77777777" w:rsidR="003E40A6" w:rsidRDefault="003E40A6" w:rsidP="0079697F">
      <w:r>
        <w:separator/>
      </w:r>
    </w:p>
  </w:footnote>
  <w:footnote w:type="continuationSeparator" w:id="0">
    <w:p w14:paraId="55F6F8AF" w14:textId="77777777" w:rsidR="003E40A6" w:rsidRDefault="003E40A6" w:rsidP="00796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615D" w14:textId="6B830D7B" w:rsidR="0079697F" w:rsidRDefault="0079697F">
    <w:pPr>
      <w:pStyle w:val="Intestazione"/>
    </w:pPr>
    <w:r>
      <w:rPr>
        <w:noProof/>
      </w:rPr>
      <w:drawing>
        <wp:anchor distT="0" distB="0" distL="114300" distR="114300" simplePos="0" relativeHeight="251659264" behindDoc="0" locked="0" layoutInCell="1" hidden="0" allowOverlap="1" wp14:anchorId="1DA90A4B" wp14:editId="6CEC7A85">
          <wp:simplePos x="0" y="0"/>
          <wp:positionH relativeFrom="page">
            <wp:posOffset>15755</wp:posOffset>
          </wp:positionH>
          <wp:positionV relativeFrom="paragraph">
            <wp:posOffset>-433121</wp:posOffset>
          </wp:positionV>
          <wp:extent cx="7561580" cy="885825"/>
          <wp:effectExtent l="0" t="0" r="1270" b="9525"/>
          <wp:wrapNone/>
          <wp:docPr id="1455172115" name="image1.png" descr="Immagine che contiene testo, schermata, Elementi grafici,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455172115" name="image1.png" descr="Immagine che contiene testo, schermata, Elementi grafici, logo&#10;&#10;Il contenuto generato dall'IA potrebbe non essere corretto."/>
                  <pic:cNvPicPr preferRelativeResize="0"/>
                </pic:nvPicPr>
                <pic:blipFill>
                  <a:blip r:embed="rId1"/>
                  <a:srcRect/>
                  <a:stretch>
                    <a:fillRect/>
                  </a:stretch>
                </pic:blipFill>
                <pic:spPr>
                  <a:xfrm>
                    <a:off x="0" y="0"/>
                    <a:ext cx="7561580" cy="88582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B585F"/>
    <w:multiLevelType w:val="multilevel"/>
    <w:tmpl w:val="EA48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8F541D"/>
    <w:multiLevelType w:val="hybridMultilevel"/>
    <w:tmpl w:val="385452A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772E68BD"/>
    <w:multiLevelType w:val="multilevel"/>
    <w:tmpl w:val="D63EA9C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abstractNum w:abstractNumId="3" w15:restartNumberingAfterBreak="0">
    <w:nsid w:val="77B07491"/>
    <w:multiLevelType w:val="multilevel"/>
    <w:tmpl w:val="54B6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449925">
    <w:abstractNumId w:val="2"/>
  </w:num>
  <w:num w:numId="2" w16cid:durableId="499663861">
    <w:abstractNumId w:val="1"/>
  </w:num>
  <w:num w:numId="3" w16cid:durableId="2102945104">
    <w:abstractNumId w:val="0"/>
  </w:num>
  <w:num w:numId="4" w16cid:durableId="1119400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7F"/>
    <w:rsid w:val="00023DFC"/>
    <w:rsid w:val="0005490A"/>
    <w:rsid w:val="000C2BF1"/>
    <w:rsid w:val="000D55C8"/>
    <w:rsid w:val="001108E7"/>
    <w:rsid w:val="001268BF"/>
    <w:rsid w:val="001D0BC5"/>
    <w:rsid w:val="001F2272"/>
    <w:rsid w:val="002F6176"/>
    <w:rsid w:val="00352CBC"/>
    <w:rsid w:val="003E40A6"/>
    <w:rsid w:val="00454C07"/>
    <w:rsid w:val="0045675F"/>
    <w:rsid w:val="004C1BB9"/>
    <w:rsid w:val="004C207B"/>
    <w:rsid w:val="00545AD2"/>
    <w:rsid w:val="00631427"/>
    <w:rsid w:val="006C3462"/>
    <w:rsid w:val="00737108"/>
    <w:rsid w:val="00775CAA"/>
    <w:rsid w:val="0079697F"/>
    <w:rsid w:val="007A39E0"/>
    <w:rsid w:val="00806D9D"/>
    <w:rsid w:val="00854359"/>
    <w:rsid w:val="008813E0"/>
    <w:rsid w:val="008D1363"/>
    <w:rsid w:val="009742EB"/>
    <w:rsid w:val="009770E2"/>
    <w:rsid w:val="009C363F"/>
    <w:rsid w:val="00A0407F"/>
    <w:rsid w:val="00A06C01"/>
    <w:rsid w:val="00A42980"/>
    <w:rsid w:val="00A560ED"/>
    <w:rsid w:val="00AC58FF"/>
    <w:rsid w:val="00AE6E0D"/>
    <w:rsid w:val="00B665DD"/>
    <w:rsid w:val="00B72DDC"/>
    <w:rsid w:val="00BB3C6F"/>
    <w:rsid w:val="00C72F59"/>
    <w:rsid w:val="00CA1755"/>
    <w:rsid w:val="00CF3DA8"/>
    <w:rsid w:val="00D34108"/>
    <w:rsid w:val="00D90479"/>
    <w:rsid w:val="00DA4184"/>
    <w:rsid w:val="00DF7665"/>
    <w:rsid w:val="00F35BB5"/>
    <w:rsid w:val="00F421C8"/>
    <w:rsid w:val="00F72983"/>
    <w:rsid w:val="00F94E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505FA91"/>
  <w15:chartTrackingRefBased/>
  <w15:docId w15:val="{FFF77312-46C4-D045-A2FD-4916CAB2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A39E0"/>
    <w:pPr>
      <w:spacing w:after="160" w:line="259" w:lineRule="auto"/>
    </w:pPr>
    <w:rPr>
      <w:rFonts w:ascii="Calibri" w:eastAsia="Calibri" w:hAnsi="Calibri" w:cs="Calibri"/>
      <w:kern w:val="0"/>
      <w:sz w:val="22"/>
      <w:szCs w:val="22"/>
      <w:lang w:val="it" w:eastAsia="it-IT"/>
      <w14:ligatures w14:val="none"/>
    </w:rPr>
  </w:style>
  <w:style w:type="paragraph" w:styleId="Titolo1">
    <w:name w:val="heading 1"/>
    <w:basedOn w:val="Normale"/>
    <w:next w:val="Normale"/>
    <w:link w:val="Titolo1Carattere"/>
    <w:uiPriority w:val="9"/>
    <w:qFormat/>
    <w:rsid w:val="0079697F"/>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unhideWhenUsed/>
    <w:qFormat/>
    <w:rsid w:val="0079697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79697F"/>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unhideWhenUsed/>
    <w:qFormat/>
    <w:rsid w:val="007969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969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9697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9697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9697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9697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969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969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969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969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969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969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969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969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969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9697F"/>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7969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9697F"/>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7969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9697F"/>
    <w:pPr>
      <w:spacing w:before="160" w:line="240"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79697F"/>
    <w:rPr>
      <w:i/>
      <w:iCs/>
      <w:color w:val="404040" w:themeColor="text1" w:themeTint="BF"/>
    </w:rPr>
  </w:style>
  <w:style w:type="paragraph" w:styleId="Paragrafoelenco">
    <w:name w:val="List Paragraph"/>
    <w:basedOn w:val="Normale"/>
    <w:uiPriority w:val="34"/>
    <w:qFormat/>
    <w:rsid w:val="0079697F"/>
    <w:pPr>
      <w:spacing w:after="0" w:line="240"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79697F"/>
    <w:rPr>
      <w:i/>
      <w:iCs/>
      <w:color w:val="0F4761" w:themeColor="accent1" w:themeShade="BF"/>
    </w:rPr>
  </w:style>
  <w:style w:type="paragraph" w:styleId="Citazioneintensa">
    <w:name w:val="Intense Quote"/>
    <w:basedOn w:val="Normale"/>
    <w:next w:val="Normale"/>
    <w:link w:val="CitazioneintensaCarattere"/>
    <w:uiPriority w:val="30"/>
    <w:qFormat/>
    <w:rsid w:val="0079697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79697F"/>
    <w:rPr>
      <w:i/>
      <w:iCs/>
      <w:color w:val="0F4761" w:themeColor="accent1" w:themeShade="BF"/>
    </w:rPr>
  </w:style>
  <w:style w:type="character" w:styleId="Riferimentointenso">
    <w:name w:val="Intense Reference"/>
    <w:basedOn w:val="Carpredefinitoparagrafo"/>
    <w:uiPriority w:val="32"/>
    <w:qFormat/>
    <w:rsid w:val="0079697F"/>
    <w:rPr>
      <w:b/>
      <w:bCs/>
      <w:smallCaps/>
      <w:color w:val="0F4761" w:themeColor="accent1" w:themeShade="BF"/>
      <w:spacing w:val="5"/>
    </w:rPr>
  </w:style>
  <w:style w:type="paragraph" w:styleId="Intestazione">
    <w:name w:val="header"/>
    <w:basedOn w:val="Normale"/>
    <w:link w:val="Intestazione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IntestazioneCarattere">
    <w:name w:val="Intestazione Carattere"/>
    <w:basedOn w:val="Carpredefinitoparagrafo"/>
    <w:link w:val="Intestazione"/>
    <w:uiPriority w:val="99"/>
    <w:rsid w:val="0079697F"/>
  </w:style>
  <w:style w:type="paragraph" w:styleId="Pidipagina">
    <w:name w:val="footer"/>
    <w:basedOn w:val="Normale"/>
    <w:link w:val="Pidipagina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PidipaginaCarattere">
    <w:name w:val="Piè di pagina Carattere"/>
    <w:basedOn w:val="Carpredefinitoparagrafo"/>
    <w:link w:val="Pidipagina"/>
    <w:uiPriority w:val="99"/>
    <w:rsid w:val="0079697F"/>
  </w:style>
  <w:style w:type="table" w:styleId="Grigliatabella">
    <w:name w:val="Table Grid"/>
    <w:basedOn w:val="Tabellanormale"/>
    <w:uiPriority w:val="39"/>
    <w:rsid w:val="00A560ED"/>
    <w:rPr>
      <w:rFonts w:ascii="Calibri" w:eastAsia="Times New Roman" w:hAnsi="Calibri" w:cs="Times New Roman"/>
      <w:kern w:val="0"/>
      <w:sz w:val="20"/>
      <w:szCs w:val="20"/>
      <w:lang w:val="it"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Testonotaapidipagina">
    <w:name w:val="footnote text"/>
    <w:basedOn w:val="Normale"/>
    <w:link w:val="TestonotaapidipaginaCarattere"/>
    <w:uiPriority w:val="99"/>
    <w:unhideWhenUsed/>
    <w:rsid w:val="00A560ED"/>
    <w:pPr>
      <w:spacing w:after="0" w:line="240" w:lineRule="auto"/>
      <w:jc w:val="both"/>
    </w:pPr>
    <w:rPr>
      <w:rFonts w:ascii="Times New Roman" w:eastAsiaTheme="minorHAnsi" w:hAnsi="Times New Roman" w:cstheme="minorBidi"/>
      <w:sz w:val="18"/>
      <w:szCs w:val="20"/>
      <w:lang w:eastAsia="ja-JP"/>
    </w:rPr>
  </w:style>
  <w:style w:type="character" w:customStyle="1" w:styleId="TestonotaapidipaginaCarattere">
    <w:name w:val="Testo nota a piè di pagina Carattere"/>
    <w:basedOn w:val="Carpredefinitoparagrafo"/>
    <w:link w:val="Testonotaapidipagina"/>
    <w:uiPriority w:val="99"/>
    <w:rsid w:val="00A560ED"/>
    <w:rPr>
      <w:rFonts w:ascii="Times New Roman" w:hAnsi="Times New Roman"/>
      <w:kern w:val="0"/>
      <w:sz w:val="18"/>
      <w:szCs w:val="20"/>
      <w:lang w:val="it" w:eastAsia="ja-JP"/>
      <w14:ligatures w14:val="none"/>
    </w:rPr>
  </w:style>
  <w:style w:type="character" w:styleId="Rimandonotaapidipagina">
    <w:name w:val="footnote reference"/>
    <w:basedOn w:val="Carpredefinitoparagrafo"/>
    <w:uiPriority w:val="99"/>
    <w:semiHidden/>
    <w:unhideWhenUsed/>
    <w:rsid w:val="00A560ED"/>
    <w:rPr>
      <w:vertAlign w:val="superscript"/>
    </w:rPr>
  </w:style>
  <w:style w:type="paragraph" w:styleId="Didascalia">
    <w:name w:val="caption"/>
    <w:basedOn w:val="Normale"/>
    <w:next w:val="Normale"/>
    <w:uiPriority w:val="35"/>
    <w:unhideWhenUsed/>
    <w:qFormat/>
    <w:rsid w:val="00A560ED"/>
    <w:pPr>
      <w:keepNext/>
      <w:spacing w:before="240" w:after="0" w:line="240" w:lineRule="auto"/>
      <w:jc w:val="both"/>
    </w:pPr>
    <w:rPr>
      <w:rFonts w:ascii="Times New Roman" w:eastAsiaTheme="minorHAnsi" w:hAnsi="Times New Roman" w:cstheme="minorBidi"/>
      <w:i/>
      <w:iCs/>
      <w:sz w:val="20"/>
      <w:szCs w:val="18"/>
      <w:lang w:eastAsia="ja-JP"/>
    </w:rPr>
  </w:style>
  <w:style w:type="paragraph" w:styleId="Nessunaspaziatura">
    <w:name w:val="No Spacing"/>
    <w:basedOn w:val="Normale"/>
    <w:link w:val="NessunaspaziaturaCarattere"/>
    <w:uiPriority w:val="1"/>
    <w:qFormat/>
    <w:rsid w:val="001108E7"/>
    <w:pPr>
      <w:spacing w:after="0" w:line="240" w:lineRule="auto"/>
      <w:jc w:val="both"/>
    </w:pPr>
    <w:rPr>
      <w:rFonts w:ascii="Poppins" w:eastAsiaTheme="minorEastAsia" w:hAnsi="Poppins" w:cstheme="minorBidi"/>
      <w:sz w:val="16"/>
      <w:szCs w:val="20"/>
    </w:rPr>
  </w:style>
  <w:style w:type="character" w:customStyle="1" w:styleId="NessunaspaziaturaCarattere">
    <w:name w:val="Nessuna spaziatura Carattere"/>
    <w:basedOn w:val="Carpredefinitoparagrafo"/>
    <w:link w:val="Nessunaspaziatura"/>
    <w:uiPriority w:val="1"/>
    <w:rsid w:val="001108E7"/>
    <w:rPr>
      <w:rFonts w:ascii="Poppins" w:eastAsiaTheme="minorEastAsia" w:hAnsi="Poppins"/>
      <w:kern w:val="0"/>
      <w:sz w:val="16"/>
      <w:szCs w:val="20"/>
      <w:lang w:val="it"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1077</Words>
  <Characters>6139</Characters>
  <Application>Microsoft Office Word</Application>
  <DocSecurity>0</DocSecurity>
  <Lines>51</Lines>
  <Paragraphs>14</Paragraphs>
  <ScaleCrop>false</ScaleCrop>
  <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corradodecristofaro0@gmail.com</dc:creator>
  <cp:keywords/>
  <dc:description/>
  <cp:lastModifiedBy>corradodecristofaro0@gmail.com</cp:lastModifiedBy>
  <cp:revision>34</cp:revision>
  <dcterms:created xsi:type="dcterms:W3CDTF">2025-09-29T20:31:00Z</dcterms:created>
  <dcterms:modified xsi:type="dcterms:W3CDTF">2025-10-02T13:49:00Z</dcterms:modified>
</cp:coreProperties>
</file>