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186E0A" w:rsidRDefault="00023DFC" w:rsidP="00186E0A">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0EBFF9F5" w14:textId="4F385EBE" w:rsidR="00ED26CA" w:rsidRPr="00ED26CA" w:rsidRDefault="00ED26CA" w:rsidP="00ED26CA">
      <w:pPr>
        <w:pStyle w:val="Titolo4"/>
        <w:jc w:val="center"/>
        <w:rPr>
          <w:rFonts w:ascii="Poppins" w:hAnsi="Poppins" w:cs="Poppins"/>
          <w:i w:val="0"/>
          <w:iCs w:val="0"/>
          <w:color w:val="124F1A" w:themeColor="accent3" w:themeShade="BF"/>
          <w:sz w:val="36"/>
          <w:szCs w:val="36"/>
        </w:rPr>
      </w:pPr>
      <w:r>
        <w:rPr>
          <w:rFonts w:ascii="Poppins" w:hAnsi="Poppins" w:cs="Poppins"/>
          <w:i w:val="0"/>
          <w:iCs w:val="0"/>
          <w:color w:val="124F1A" w:themeColor="accent3" w:themeShade="BF"/>
          <w:sz w:val="36"/>
          <w:szCs w:val="36"/>
        </w:rPr>
        <w:t>P</w:t>
      </w:r>
      <w:r w:rsidRPr="00ED26CA">
        <w:rPr>
          <w:rFonts w:ascii="Poppins" w:hAnsi="Poppins" w:cs="Poppins"/>
          <w:i w:val="0"/>
          <w:iCs w:val="0"/>
          <w:color w:val="124F1A" w:themeColor="accent3" w:themeShade="BF"/>
          <w:sz w:val="36"/>
          <w:szCs w:val="36"/>
        </w:rPr>
        <w:t>rospettiva del welfare integrato</w:t>
      </w:r>
    </w:p>
    <w:p w14:paraId="0CA41B38" w14:textId="77777777" w:rsidR="00ED26CA" w:rsidRPr="00ED26CA" w:rsidRDefault="00ED26CA" w:rsidP="00ED26CA">
      <w:pPr>
        <w:jc w:val="both"/>
        <w:rPr>
          <w:rFonts w:ascii="Poppins" w:hAnsi="Poppins" w:cs="Poppins"/>
          <w:lang w:val="en-GB"/>
        </w:rPr>
      </w:pPr>
    </w:p>
    <w:p w14:paraId="75E4DAC2" w14:textId="205F8CAA" w:rsidR="00ED26CA" w:rsidRPr="00ED26CA" w:rsidRDefault="00ED26CA" w:rsidP="00ED26CA">
      <w:pPr>
        <w:jc w:val="both"/>
        <w:rPr>
          <w:rFonts w:ascii="Poppins" w:hAnsi="Poppins" w:cs="Poppins"/>
          <w:lang w:val="en-GB"/>
        </w:rPr>
      </w:pPr>
      <w:r w:rsidRPr="00ED26CA">
        <w:rPr>
          <w:rFonts w:ascii="Poppins" w:hAnsi="Poppins" w:cs="Poppins"/>
          <w:lang w:val="en-GB"/>
        </w:rPr>
        <w:t xml:space="preserve">La prospettiva del welfare socialmente radicato esprime una critica a quella che viene percepita come la deriva regressiva del </w:t>
      </w:r>
      <w:r w:rsidRPr="00ED26CA">
        <w:rPr>
          <w:rFonts w:ascii="Poppins" w:hAnsi="Poppins" w:cs="Poppins"/>
          <w:i/>
          <w:lang w:val="en-GB"/>
        </w:rPr>
        <w:t xml:space="preserve">welfare aziendale </w:t>
      </w:r>
      <w:r w:rsidRPr="00ED26CA">
        <w:rPr>
          <w:rFonts w:ascii="Poppins" w:hAnsi="Poppins" w:cs="Poppins"/>
          <w:lang w:val="en-GB"/>
        </w:rPr>
        <w:t>verso un utilizzo semplificato dello strumento, che assomiglia sempre più a una forma di integrazione salariale piuttosto che a una leva per il benessere collettivo. Al centro di questa critica c'è l'osservazione che le recenti modifiche normative – in particolare l'innalzamento delle soglie di esenzione per i fringe benefit – hanno favorito l'espansione di un modello di "welfare basato sulla spesa". Questo modello si traduce spesso nell'uso diffuso di gift card riscattabili su piattaforme mainstream come Amazon, a scapito di un approccio di "welfare reale" orientato all'utilità sociale e alla promozione di servizi che rispondano a bisogni condivisi.</w:t>
      </w:r>
    </w:p>
    <w:p w14:paraId="67A92B80" w14:textId="77777777" w:rsidR="00ED26CA" w:rsidRPr="00ED26CA" w:rsidRDefault="00ED26CA" w:rsidP="00ED26CA">
      <w:pPr>
        <w:jc w:val="both"/>
        <w:rPr>
          <w:rFonts w:ascii="Poppins" w:hAnsi="Poppins" w:cs="Poppins"/>
          <w:lang w:val="en-GB"/>
        </w:rPr>
      </w:pPr>
      <w:r w:rsidRPr="00ED26CA">
        <w:rPr>
          <w:rFonts w:ascii="Poppins" w:hAnsi="Poppins" w:cs="Poppins"/>
          <w:lang w:val="en-GB"/>
        </w:rPr>
        <w:t xml:space="preserve">Secondo questa visione, il rischio principale risiede nella progressiva mercificazione del </w:t>
      </w:r>
      <w:r w:rsidRPr="00ED26CA">
        <w:rPr>
          <w:rFonts w:ascii="Poppins" w:hAnsi="Poppins" w:cs="Poppins"/>
          <w:i/>
          <w:lang w:val="en-GB"/>
        </w:rPr>
        <w:t xml:space="preserve">welfare aziendale </w:t>
      </w:r>
      <w:r w:rsidRPr="00ED26CA">
        <w:rPr>
          <w:rFonts w:ascii="Poppins" w:hAnsi="Poppins" w:cs="Poppins"/>
          <w:lang w:val="en-GB"/>
        </w:rPr>
        <w:t>, che diventa una forma surrogata di remunerazione, utilizzata per compensare livelli salariali stagnanti, ma a scapito del sistema fiscale generale e a scapito del sistema pensionistico e di protezione sociale. Se portata all'estremo, questa dinamica potrebbe in ultima analisi svuotare la funzione sociale del welfare e minare le fondamenta della coesione sociale.</w:t>
      </w:r>
    </w:p>
    <w:p w14:paraId="5FF6C469" w14:textId="4A0CF092" w:rsidR="00ED26CA" w:rsidRPr="00ED26CA" w:rsidRDefault="00ED26CA" w:rsidP="00ED26CA">
      <w:pPr>
        <w:jc w:val="both"/>
        <w:rPr>
          <w:rFonts w:ascii="Poppins" w:hAnsi="Poppins" w:cs="Poppins"/>
          <w:lang w:val="en-GB"/>
        </w:rPr>
      </w:pPr>
      <w:r w:rsidRPr="00ED26CA">
        <w:rPr>
          <w:rFonts w:ascii="Poppins" w:hAnsi="Poppins" w:cs="Poppins"/>
          <w:lang w:val="en-GB"/>
        </w:rPr>
        <w:t>Un'ulteriore fonte di preoccupazione riguarda gli effetti della disintermediazione digitale e della concorrenza al ribasso sui prezzi, che potrebbero avere un impatto negativo sulla qualità dell'erogazione dei servizi, soprattutto in ambiti sensibili come l'assistenza alle persone e il supporto ai caregiver. In particolare, si teme che la standardizzazione delle piattaforme di welfare, unita a un controllo insufficiente, possa portare alla proliferazione di soluzioni scarsamente allineate alle reali esigenze degli individui, compromettendo in ultima analisi sia la sicurezza che l'efficacia degli interventi di welfare.</w:t>
      </w:r>
    </w:p>
    <w:p w14:paraId="18D9D41A" w14:textId="77777777" w:rsidR="00ED26CA" w:rsidRPr="00ED26CA" w:rsidRDefault="00ED26CA" w:rsidP="00ED26CA">
      <w:pPr>
        <w:jc w:val="both"/>
        <w:rPr>
          <w:rFonts w:ascii="Poppins" w:hAnsi="Poppins" w:cs="Poppins"/>
          <w:lang w:val="en-GB"/>
        </w:rPr>
      </w:pPr>
      <w:r w:rsidRPr="00ED26CA">
        <w:rPr>
          <w:rFonts w:ascii="Poppins" w:hAnsi="Poppins" w:cs="Poppins"/>
          <w:lang w:val="en-GB"/>
        </w:rPr>
        <w:t>In risposta a queste criticità, diversi intervistati auspicano l'introduzione di criteri di accreditamento e standard minimi di qualità per i servizi ammissibili alle agevolazioni fiscali, ispirandosi ai modelli normativi del welfare pubblico. Parallelamente, si auspica la valorizzazione del ruolo degli intermediari professionali – come care manager, welfare manager, welfare coach, navigator o longevity planner – rafforzandone il riconoscimento istituzionale e promuovendo la formazione continua.</w:t>
      </w:r>
    </w:p>
    <w:p w14:paraId="77AAA8C2" w14:textId="77777777" w:rsidR="00ED26CA" w:rsidRPr="00ED26CA" w:rsidRDefault="00ED26CA" w:rsidP="00ED26CA">
      <w:pPr>
        <w:jc w:val="both"/>
        <w:rPr>
          <w:rFonts w:ascii="Poppins" w:hAnsi="Poppins" w:cs="Poppins"/>
          <w:lang w:val="en-GB"/>
        </w:rPr>
      </w:pPr>
      <w:r w:rsidRPr="00ED26CA">
        <w:rPr>
          <w:rFonts w:ascii="Poppins" w:hAnsi="Poppins" w:cs="Poppins"/>
          <w:lang w:val="en-GB"/>
        </w:rPr>
        <w:t xml:space="preserve">Questa prospettiva enfatizza fortemente il valore delle pratiche di welfare "on top", che si estendono al di fuori dei confini delle piattaforme standard, attraverso iniziative co-progettate, servizi personalizzati e programmi che coinvolgono le famiglie e la comunità in generale. In quest'ottica, </w:t>
      </w:r>
      <w:r w:rsidRPr="00ED26CA">
        <w:rPr>
          <w:rFonts w:ascii="Poppins" w:hAnsi="Poppins" w:cs="Poppins"/>
          <w:i/>
          <w:lang w:val="en-GB"/>
        </w:rPr>
        <w:t xml:space="preserve">il welfare aziendale </w:t>
      </w:r>
      <w:r w:rsidRPr="00ED26CA">
        <w:rPr>
          <w:rFonts w:ascii="Poppins" w:hAnsi="Poppins" w:cs="Poppins"/>
          <w:lang w:val="en-GB"/>
        </w:rPr>
        <w:t xml:space="preserve">non è solo un insieme di benefit </w:t>
      </w:r>
      <w:r w:rsidRPr="00ED26CA">
        <w:rPr>
          <w:rFonts w:ascii="Poppins" w:hAnsi="Poppins" w:cs="Poppins"/>
          <w:lang w:val="en-GB"/>
        </w:rPr>
        <w:lastRenderedPageBreak/>
        <w:t>individuali, ma uno strumento relazionale e comunitario che integra i sistemi di welfare pubblico, contrattuale e territoriale, rafforzando l'identità dell'azienda come polo di benessere, prossimità e cura.</w:t>
      </w:r>
    </w:p>
    <w:p w14:paraId="691906F8" w14:textId="77777777" w:rsidR="00ED26CA" w:rsidRPr="00ED26CA" w:rsidRDefault="00ED26CA" w:rsidP="00ED26CA">
      <w:pPr>
        <w:jc w:val="both"/>
        <w:rPr>
          <w:rFonts w:ascii="Poppins" w:hAnsi="Poppins" w:cs="Poppins"/>
          <w:lang w:val="en-GB"/>
        </w:rPr>
      </w:pPr>
      <w:r w:rsidRPr="00ED26CA">
        <w:rPr>
          <w:rFonts w:ascii="Poppins" w:hAnsi="Poppins" w:cs="Poppins"/>
          <w:lang w:val="en-GB"/>
        </w:rPr>
        <w:t>Questo approccio porta a una proposta politica volta a mantenere relativamente basse le soglie di esenzione fiscale per i fringe benefit, scoraggiando così quello che è visto come un uso improprio dello strumento. Al contrario, sostiene incentivi fiscali selettivi rivolti alle aziende che investono in piani di welfare orientati a obiettivi di più ampio interesse sociale, come pensioni integrative, assistenza sanitaria preventiva e servizi di assistenza a lungo termine.</w:t>
      </w:r>
    </w:p>
    <w:p w14:paraId="002D58E6" w14:textId="77777777" w:rsidR="00ED26CA" w:rsidRPr="00ED26CA" w:rsidRDefault="00ED26CA" w:rsidP="00ED26CA">
      <w:pPr>
        <w:jc w:val="both"/>
        <w:rPr>
          <w:rFonts w:ascii="Poppins" w:hAnsi="Poppins" w:cs="Poppins"/>
          <w:lang w:val="en-GB"/>
        </w:rPr>
      </w:pPr>
      <w:r w:rsidRPr="00ED26CA">
        <w:rPr>
          <w:rFonts w:ascii="Poppins" w:hAnsi="Poppins" w:cs="Poppins"/>
          <w:lang w:val="en-GB"/>
        </w:rPr>
        <w:t xml:space="preserve">In questa prospettiva, </w:t>
      </w:r>
      <w:r w:rsidRPr="00ED26CA">
        <w:rPr>
          <w:rFonts w:ascii="Poppins" w:hAnsi="Poppins" w:cs="Poppins"/>
          <w:i/>
          <w:lang w:val="en-GB"/>
        </w:rPr>
        <w:t xml:space="preserve">il welfare aziendale </w:t>
      </w:r>
      <w:r w:rsidRPr="00ED26CA">
        <w:rPr>
          <w:rFonts w:ascii="Poppins" w:hAnsi="Poppins" w:cs="Poppins"/>
          <w:lang w:val="en-GB"/>
        </w:rPr>
        <w:t>è inteso come leva di benessere collettivo e coesione sociale, fondata su valori di equità, prossimità e responsabilità. Il suo sviluppo non può essere affidato esclusivamente alle dinamiche di mercato, ma deve essere sostenuto da un intervento pubblico attivo. Ciò implica l'utilizzo strategico di incentivi fiscali, l'introduzione di standard qualitativi, l'accreditamento dei servizi e il rafforzamento delle sinergie tra sistemi di welfare aziendale, pubblico e locale.</w:t>
      </w:r>
    </w:p>
    <w:p w14:paraId="66B82C3F" w14:textId="77777777" w:rsidR="00ED26CA" w:rsidRPr="00ED26CA" w:rsidRDefault="00ED26CA" w:rsidP="00ED26CA">
      <w:pPr>
        <w:jc w:val="both"/>
        <w:rPr>
          <w:rFonts w:ascii="Poppins" w:hAnsi="Poppins" w:cs="Poppins"/>
          <w:lang w:val="en-GB"/>
        </w:rPr>
      </w:pPr>
      <w:r w:rsidRPr="00ED26CA">
        <w:rPr>
          <w:rFonts w:ascii="Poppins" w:hAnsi="Poppins" w:cs="Poppins"/>
          <w:lang w:val="en-GB"/>
        </w:rPr>
        <w:t>L'obiettivo non è semplicemente quello di fornire alle aziende uno strumento flessibile per la gestione della forza lavoro, ma di riconoscere il lavoratore non solo come dipendente, ma anche come cittadino inserito in una rete di relazioni sociali e familiari, e di costruire attorno a lui un'infrastruttura sociale in grado di rispondere ai bisogni che emergono sia nel corso della vita lavorativa che in quella comunitaria.</w:t>
      </w:r>
    </w:p>
    <w:p w14:paraId="42864BAC" w14:textId="77777777" w:rsidR="00ED26CA" w:rsidRPr="00ED26CA" w:rsidRDefault="00ED26CA" w:rsidP="00ED26CA">
      <w:pPr>
        <w:pStyle w:val="Didascalia"/>
        <w:rPr>
          <w:rFonts w:ascii="Poppins" w:hAnsi="Poppins" w:cs="Poppins"/>
          <w:sz w:val="22"/>
          <w:szCs w:val="22"/>
          <w:lang w:val="en-GB"/>
        </w:rPr>
      </w:pPr>
      <w:r w:rsidRPr="00ED26CA">
        <w:rPr>
          <w:rFonts w:ascii="Poppins" w:hAnsi="Poppins" w:cs="Poppins"/>
          <w:sz w:val="22"/>
          <w:szCs w:val="22"/>
          <w:lang w:val="en-GB"/>
        </w:rPr>
        <w:t xml:space="preserve">Tabella </w:t>
      </w:r>
      <w:r w:rsidRPr="00ED26CA">
        <w:rPr>
          <w:rFonts w:ascii="Poppins" w:hAnsi="Poppins" w:cs="Poppins"/>
          <w:sz w:val="22"/>
          <w:szCs w:val="22"/>
        </w:rPr>
        <w:fldChar w:fldCharType="begin"/>
      </w:r>
      <w:r w:rsidRPr="00ED26CA">
        <w:rPr>
          <w:rFonts w:ascii="Poppins" w:hAnsi="Poppins" w:cs="Poppins"/>
          <w:sz w:val="22"/>
          <w:szCs w:val="22"/>
          <w:lang w:val="en-GB"/>
        </w:rPr>
        <w:instrText xml:space="preserve"> SEQ Table \* ARABIC </w:instrText>
      </w:r>
      <w:r w:rsidRPr="00ED26CA">
        <w:rPr>
          <w:rFonts w:ascii="Poppins" w:hAnsi="Poppins" w:cs="Poppins"/>
          <w:sz w:val="22"/>
          <w:szCs w:val="22"/>
        </w:rPr>
        <w:fldChar w:fldCharType="separate"/>
      </w:r>
      <w:r w:rsidRPr="00ED26CA">
        <w:rPr>
          <w:rFonts w:ascii="Poppins" w:hAnsi="Poppins" w:cs="Poppins"/>
          <w:noProof/>
          <w:sz w:val="22"/>
          <w:szCs w:val="22"/>
          <w:lang w:val="en-GB"/>
        </w:rPr>
        <w:t xml:space="preserve">3 </w:t>
      </w:r>
      <w:r w:rsidRPr="00ED26CA">
        <w:rPr>
          <w:rFonts w:ascii="Poppins" w:hAnsi="Poppins" w:cs="Poppins"/>
          <w:sz w:val="22"/>
          <w:szCs w:val="22"/>
        </w:rPr>
        <w:fldChar w:fldCharType="end"/>
      </w:r>
      <w:r w:rsidRPr="00ED26CA">
        <w:rPr>
          <w:rFonts w:ascii="Poppins" w:hAnsi="Poppins" w:cs="Poppins"/>
          <w:sz w:val="22"/>
          <w:szCs w:val="22"/>
          <w:lang w:val="en-GB"/>
        </w:rPr>
        <w:t>- Due prospettive ideal-tipiche sul futuro della regolamentazione del welfare aziendale</w:t>
      </w:r>
    </w:p>
    <w:tbl>
      <w:tblPr>
        <w:tblStyle w:val="Grigliatabella"/>
        <w:tblW w:w="0" w:type="auto"/>
        <w:tblInd w:w="-5" w:type="dxa"/>
        <w:tblLook w:val="04A0" w:firstRow="1" w:lastRow="0" w:firstColumn="1" w:lastColumn="0" w:noHBand="0" w:noVBand="1"/>
      </w:tblPr>
      <w:tblGrid>
        <w:gridCol w:w="1579"/>
        <w:gridCol w:w="3380"/>
        <w:gridCol w:w="4674"/>
      </w:tblGrid>
      <w:tr w:rsidR="00ED26CA" w:rsidRPr="00ED26CA" w14:paraId="495C8FD6" w14:textId="77777777" w:rsidTr="00B74592">
        <w:tc>
          <w:tcPr>
            <w:tcW w:w="0" w:type="auto"/>
            <w:hideMark/>
          </w:tcPr>
          <w:p w14:paraId="3511E518" w14:textId="77777777" w:rsidR="00ED26CA" w:rsidRPr="00ED26CA" w:rsidRDefault="00ED26CA" w:rsidP="00ED26CA">
            <w:pPr>
              <w:pStyle w:val="Nessunaspaziatura"/>
              <w:rPr>
                <w:rFonts w:cs="Poppins"/>
                <w:b/>
                <w:bCs/>
                <w:sz w:val="22"/>
                <w:szCs w:val="22"/>
              </w:rPr>
            </w:pPr>
            <w:r w:rsidRPr="00ED26CA">
              <w:rPr>
                <w:rFonts w:cs="Poppins"/>
                <w:b/>
                <w:bCs/>
                <w:sz w:val="22"/>
                <w:szCs w:val="22"/>
              </w:rPr>
              <w:t>Tema</w:t>
            </w:r>
          </w:p>
        </w:tc>
        <w:tc>
          <w:tcPr>
            <w:tcW w:w="0" w:type="auto"/>
            <w:hideMark/>
          </w:tcPr>
          <w:p w14:paraId="0A8E9ADF" w14:textId="77777777" w:rsidR="00ED26CA" w:rsidRPr="00ED26CA" w:rsidRDefault="00ED26CA" w:rsidP="00ED26CA">
            <w:pPr>
              <w:pStyle w:val="Nessunaspaziatura"/>
              <w:rPr>
                <w:rFonts w:cs="Poppins"/>
                <w:b/>
                <w:bCs/>
                <w:sz w:val="22"/>
                <w:szCs w:val="22"/>
              </w:rPr>
            </w:pPr>
            <w:r w:rsidRPr="00ED26CA">
              <w:rPr>
                <w:rFonts w:cs="Poppins"/>
                <w:b/>
                <w:bCs/>
                <w:sz w:val="22"/>
                <w:szCs w:val="22"/>
              </w:rPr>
              <w:t>Ordoliberale Prospettiva</w:t>
            </w:r>
          </w:p>
        </w:tc>
        <w:tc>
          <w:tcPr>
            <w:tcW w:w="0" w:type="auto"/>
            <w:hideMark/>
          </w:tcPr>
          <w:p w14:paraId="1BD805A0" w14:textId="77777777" w:rsidR="00ED26CA" w:rsidRPr="00ED26CA" w:rsidRDefault="00ED26CA" w:rsidP="00ED26CA">
            <w:pPr>
              <w:pStyle w:val="Nessunaspaziatura"/>
              <w:rPr>
                <w:rFonts w:cs="Poppins"/>
                <w:b/>
                <w:bCs/>
                <w:sz w:val="22"/>
                <w:szCs w:val="22"/>
              </w:rPr>
            </w:pPr>
            <w:r w:rsidRPr="00ED26CA">
              <w:rPr>
                <w:rFonts w:cs="Poppins"/>
                <w:b/>
                <w:bCs/>
                <w:sz w:val="22"/>
                <w:szCs w:val="22"/>
              </w:rPr>
              <w:t>Prospettiva del welfare integrato</w:t>
            </w:r>
          </w:p>
        </w:tc>
      </w:tr>
      <w:tr w:rsidR="00ED26CA" w:rsidRPr="00ED26CA" w14:paraId="408BFF2A" w14:textId="77777777" w:rsidTr="00B74592">
        <w:tc>
          <w:tcPr>
            <w:tcW w:w="0" w:type="auto"/>
            <w:hideMark/>
          </w:tcPr>
          <w:p w14:paraId="7F06CDDE" w14:textId="77777777" w:rsidR="00ED26CA" w:rsidRPr="00ED26CA" w:rsidRDefault="00ED26CA" w:rsidP="00ED26CA">
            <w:pPr>
              <w:pStyle w:val="Nessunaspaziatura"/>
              <w:rPr>
                <w:rFonts w:cs="Poppins"/>
                <w:i/>
                <w:iCs/>
                <w:sz w:val="22"/>
                <w:szCs w:val="22"/>
              </w:rPr>
            </w:pPr>
            <w:r w:rsidRPr="00ED26CA">
              <w:rPr>
                <w:rFonts w:cs="Poppins"/>
                <w:i/>
                <w:iCs/>
                <w:sz w:val="22"/>
                <w:szCs w:val="22"/>
              </w:rPr>
              <w:t>Ruolo dello Stato</w:t>
            </w:r>
          </w:p>
        </w:tc>
        <w:tc>
          <w:tcPr>
            <w:tcW w:w="0" w:type="auto"/>
            <w:hideMark/>
          </w:tcPr>
          <w:p w14:paraId="4314C8A4"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Regolatore minimo, garante della concorrenza leale</w:t>
            </w:r>
          </w:p>
        </w:tc>
        <w:tc>
          <w:tcPr>
            <w:tcW w:w="0" w:type="auto"/>
            <w:hideMark/>
          </w:tcPr>
          <w:p w14:paraId="0F621353"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Regolatore attivo orientato ad obiettivi sociali</w:t>
            </w:r>
          </w:p>
        </w:tc>
      </w:tr>
      <w:tr w:rsidR="00ED26CA" w:rsidRPr="00ED26CA" w14:paraId="716F0BAE" w14:textId="77777777" w:rsidTr="00B74592">
        <w:tc>
          <w:tcPr>
            <w:tcW w:w="0" w:type="auto"/>
            <w:hideMark/>
          </w:tcPr>
          <w:p w14:paraId="55C8C7F2" w14:textId="77777777" w:rsidR="00ED26CA" w:rsidRPr="00ED26CA" w:rsidRDefault="00ED26CA" w:rsidP="00ED26CA">
            <w:pPr>
              <w:pStyle w:val="Nessunaspaziatura"/>
              <w:rPr>
                <w:rFonts w:cs="Poppins"/>
                <w:i/>
                <w:iCs/>
                <w:sz w:val="22"/>
                <w:szCs w:val="22"/>
              </w:rPr>
            </w:pPr>
            <w:r w:rsidRPr="00ED26CA">
              <w:rPr>
                <w:rFonts w:cs="Poppins"/>
                <w:i/>
                <w:iCs/>
                <w:sz w:val="22"/>
                <w:szCs w:val="22"/>
              </w:rPr>
              <w:t>Principale Critica</w:t>
            </w:r>
          </w:p>
        </w:tc>
        <w:tc>
          <w:tcPr>
            <w:tcW w:w="0" w:type="auto"/>
            <w:hideMark/>
          </w:tcPr>
          <w:p w14:paraId="12AB7904"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Eccessiva instabilità e rigidità del sistema</w:t>
            </w:r>
          </w:p>
        </w:tc>
        <w:tc>
          <w:tcPr>
            <w:tcW w:w="0" w:type="auto"/>
            <w:hideMark/>
          </w:tcPr>
          <w:p w14:paraId="574E49B8"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Deriva monetaria, erosione della funzione sociale</w:t>
            </w:r>
          </w:p>
        </w:tc>
      </w:tr>
      <w:tr w:rsidR="00ED26CA" w:rsidRPr="00ED26CA" w14:paraId="3ECF5E80" w14:textId="77777777" w:rsidTr="00B74592">
        <w:tc>
          <w:tcPr>
            <w:tcW w:w="0" w:type="auto"/>
            <w:hideMark/>
          </w:tcPr>
          <w:p w14:paraId="4C200B5F" w14:textId="77777777" w:rsidR="00ED26CA" w:rsidRPr="00ED26CA" w:rsidRDefault="00ED26CA" w:rsidP="00ED26CA">
            <w:pPr>
              <w:pStyle w:val="Nessunaspaziatura"/>
              <w:rPr>
                <w:rFonts w:cs="Poppins"/>
                <w:i/>
                <w:iCs/>
                <w:sz w:val="22"/>
                <w:szCs w:val="22"/>
              </w:rPr>
            </w:pPr>
            <w:r w:rsidRPr="00ED26CA">
              <w:rPr>
                <w:rFonts w:cs="Poppins"/>
                <w:i/>
                <w:iCs/>
                <w:sz w:val="22"/>
                <w:szCs w:val="22"/>
              </w:rPr>
              <w:t>Obiettivo</w:t>
            </w:r>
          </w:p>
        </w:tc>
        <w:tc>
          <w:tcPr>
            <w:tcW w:w="0" w:type="auto"/>
            <w:hideMark/>
          </w:tcPr>
          <w:p w14:paraId="04610A6A" w14:textId="77777777" w:rsidR="00ED26CA" w:rsidRPr="00ED26CA" w:rsidRDefault="00ED26CA" w:rsidP="00ED26CA">
            <w:pPr>
              <w:pStyle w:val="Nessunaspaziatura"/>
              <w:rPr>
                <w:rFonts w:cs="Poppins"/>
                <w:sz w:val="22"/>
                <w:szCs w:val="22"/>
              </w:rPr>
            </w:pPr>
            <w:r w:rsidRPr="00ED26CA">
              <w:rPr>
                <w:rFonts w:cs="Poppins"/>
                <w:sz w:val="22"/>
                <w:szCs w:val="22"/>
              </w:rPr>
              <w:t>Semplificazione , efficienza , premialità</w:t>
            </w:r>
          </w:p>
        </w:tc>
        <w:tc>
          <w:tcPr>
            <w:tcW w:w="0" w:type="auto"/>
            <w:hideMark/>
          </w:tcPr>
          <w:p w14:paraId="19D94240"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Qualifica, inclusività, impatto sociale sulle comunità locali</w:t>
            </w:r>
          </w:p>
        </w:tc>
      </w:tr>
      <w:tr w:rsidR="00ED26CA" w:rsidRPr="00ED26CA" w14:paraId="1893A77D" w14:textId="77777777" w:rsidTr="00B74592">
        <w:tc>
          <w:tcPr>
            <w:tcW w:w="0" w:type="auto"/>
            <w:hideMark/>
          </w:tcPr>
          <w:p w14:paraId="346938C1" w14:textId="77777777" w:rsidR="00ED26CA" w:rsidRPr="00ED26CA" w:rsidRDefault="00ED26CA" w:rsidP="00ED26CA">
            <w:pPr>
              <w:pStyle w:val="Nessunaspaziatura"/>
              <w:rPr>
                <w:rFonts w:cs="Poppins"/>
                <w:i/>
                <w:iCs/>
                <w:sz w:val="22"/>
                <w:szCs w:val="22"/>
              </w:rPr>
            </w:pPr>
            <w:r w:rsidRPr="00ED26CA">
              <w:rPr>
                <w:rFonts w:cs="Poppins"/>
                <w:i/>
                <w:iCs/>
                <w:sz w:val="22"/>
                <w:szCs w:val="22"/>
              </w:rPr>
              <w:t>Proposte chiave</w:t>
            </w:r>
          </w:p>
        </w:tc>
        <w:tc>
          <w:tcPr>
            <w:tcW w:w="0" w:type="auto"/>
            <w:hideMark/>
          </w:tcPr>
          <w:p w14:paraId="43B31F4D"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Maggiore flessibilità e chiarezza normativa</w:t>
            </w:r>
          </w:p>
        </w:tc>
        <w:tc>
          <w:tcPr>
            <w:tcW w:w="0" w:type="auto"/>
            <w:hideMark/>
          </w:tcPr>
          <w:p w14:paraId="49C4A8FC"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Incentivi selettivi, standard di qualità e accreditamento dei servizi</w:t>
            </w:r>
          </w:p>
        </w:tc>
      </w:tr>
      <w:tr w:rsidR="00ED26CA" w:rsidRPr="00ED26CA" w14:paraId="77E397B9" w14:textId="77777777" w:rsidTr="00B74592">
        <w:tc>
          <w:tcPr>
            <w:tcW w:w="0" w:type="auto"/>
            <w:hideMark/>
          </w:tcPr>
          <w:p w14:paraId="738D1503" w14:textId="77777777" w:rsidR="00ED26CA" w:rsidRPr="00ED26CA" w:rsidRDefault="00ED26CA" w:rsidP="00ED26CA">
            <w:pPr>
              <w:pStyle w:val="Nessunaspaziatura"/>
              <w:rPr>
                <w:rFonts w:cs="Poppins"/>
                <w:i/>
                <w:iCs/>
                <w:sz w:val="22"/>
                <w:szCs w:val="22"/>
              </w:rPr>
            </w:pPr>
            <w:r w:rsidRPr="00ED26CA">
              <w:rPr>
                <w:rFonts w:cs="Poppins"/>
                <w:i/>
                <w:iCs/>
                <w:sz w:val="22"/>
                <w:szCs w:val="22"/>
              </w:rPr>
              <w:t>Attori stimati</w:t>
            </w:r>
          </w:p>
        </w:tc>
        <w:tc>
          <w:tcPr>
            <w:tcW w:w="0" w:type="auto"/>
            <w:hideMark/>
          </w:tcPr>
          <w:p w14:paraId="066C138C"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Aziende autonome e fornitori agili</w:t>
            </w:r>
          </w:p>
        </w:tc>
        <w:tc>
          <w:tcPr>
            <w:tcW w:w="0" w:type="auto"/>
            <w:hideMark/>
          </w:tcPr>
          <w:p w14:paraId="7B369448" w14:textId="77777777" w:rsidR="00ED26CA" w:rsidRPr="00ED26CA" w:rsidRDefault="00ED26CA" w:rsidP="00ED26CA">
            <w:pPr>
              <w:pStyle w:val="Nessunaspaziatura"/>
              <w:rPr>
                <w:rFonts w:cs="Poppins"/>
                <w:sz w:val="22"/>
                <w:szCs w:val="22"/>
                <w:lang w:val="en-GB"/>
              </w:rPr>
            </w:pPr>
            <w:r w:rsidRPr="00ED26CA">
              <w:rPr>
                <w:rFonts w:cs="Poppins"/>
                <w:sz w:val="22"/>
                <w:szCs w:val="22"/>
                <w:lang w:val="en-GB"/>
              </w:rPr>
              <w:t>Intermediari qualificati, pubbliche amministrazioni e organizzazioni del Terzo Settore</w:t>
            </w:r>
          </w:p>
        </w:tc>
      </w:tr>
    </w:tbl>
    <w:p w14:paraId="70317951" w14:textId="77777777" w:rsidR="007A39E0" w:rsidRPr="00ED26CA" w:rsidRDefault="007A39E0" w:rsidP="00ED26CA">
      <w:pPr>
        <w:pStyle w:val="Titolo2"/>
        <w:jc w:val="both"/>
        <w:rPr>
          <w:rFonts w:ascii="Poppins" w:hAnsi="Poppins" w:cs="Poppins"/>
          <w:color w:val="124F1A" w:themeColor="accent3" w:themeShade="BF"/>
          <w:sz w:val="22"/>
          <w:szCs w:val="22"/>
          <w:lang w:val="en-GB"/>
        </w:rPr>
      </w:pPr>
    </w:p>
    <w:sectPr w:rsidR="007A39E0" w:rsidRPr="00ED26CA">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B66BD" w14:textId="77777777" w:rsidR="003E1873" w:rsidRDefault="003E1873" w:rsidP="0079697F">
      <w:r>
        <w:separator/>
      </w:r>
    </w:p>
  </w:endnote>
  <w:endnote w:type="continuationSeparator" w:id="0">
    <w:p w14:paraId="41CB7EEB" w14:textId="77777777" w:rsidR="003E1873" w:rsidRDefault="003E1873"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338E2" w14:textId="77777777" w:rsidR="003E1873" w:rsidRDefault="003E1873" w:rsidP="0079697F">
      <w:r>
        <w:separator/>
      </w:r>
    </w:p>
  </w:footnote>
  <w:footnote w:type="continuationSeparator" w:id="0">
    <w:p w14:paraId="37C02A3E" w14:textId="77777777" w:rsidR="003E1873" w:rsidRDefault="003E1873"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C2BF1"/>
    <w:rsid w:val="000D55C8"/>
    <w:rsid w:val="001108E7"/>
    <w:rsid w:val="001268BF"/>
    <w:rsid w:val="00186E0A"/>
    <w:rsid w:val="001B4EDC"/>
    <w:rsid w:val="001D0BC5"/>
    <w:rsid w:val="001F2272"/>
    <w:rsid w:val="002F6176"/>
    <w:rsid w:val="00352CBC"/>
    <w:rsid w:val="003C75A6"/>
    <w:rsid w:val="003E1873"/>
    <w:rsid w:val="00454C07"/>
    <w:rsid w:val="0045675F"/>
    <w:rsid w:val="004C1BB9"/>
    <w:rsid w:val="004C207B"/>
    <w:rsid w:val="00545AD2"/>
    <w:rsid w:val="00631427"/>
    <w:rsid w:val="006C3462"/>
    <w:rsid w:val="00737108"/>
    <w:rsid w:val="00775CAA"/>
    <w:rsid w:val="0079697F"/>
    <w:rsid w:val="007A39E0"/>
    <w:rsid w:val="00806D9D"/>
    <w:rsid w:val="00854359"/>
    <w:rsid w:val="008813E0"/>
    <w:rsid w:val="008D1363"/>
    <w:rsid w:val="00933F19"/>
    <w:rsid w:val="009742EB"/>
    <w:rsid w:val="009770E2"/>
    <w:rsid w:val="00992209"/>
    <w:rsid w:val="009C363F"/>
    <w:rsid w:val="009C70C8"/>
    <w:rsid w:val="00A0407F"/>
    <w:rsid w:val="00A30B7D"/>
    <w:rsid w:val="00A42980"/>
    <w:rsid w:val="00A560ED"/>
    <w:rsid w:val="00AC58FF"/>
    <w:rsid w:val="00AE6E0D"/>
    <w:rsid w:val="00B665DD"/>
    <w:rsid w:val="00B72DDC"/>
    <w:rsid w:val="00BB3C6F"/>
    <w:rsid w:val="00C72F59"/>
    <w:rsid w:val="00CA1755"/>
    <w:rsid w:val="00CF3DA8"/>
    <w:rsid w:val="00D34108"/>
    <w:rsid w:val="00D90479"/>
    <w:rsid w:val="00DA4184"/>
    <w:rsid w:val="00DF7665"/>
    <w:rsid w:val="00ED26CA"/>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43</cp:revision>
  <dcterms:created xsi:type="dcterms:W3CDTF">2025-09-29T20:31:00Z</dcterms:created>
  <dcterms:modified xsi:type="dcterms:W3CDTF">2025-10-02T13:52:00Z</dcterms:modified>
</cp:coreProperties>
</file>