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1D85" w14:textId="77777777" w:rsidR="00023DFC" w:rsidRPr="00CA1755" w:rsidRDefault="00023DFC" w:rsidP="00CA1755">
      <w:pPr>
        <w:pStyle w:val="Titolo2"/>
        <w:ind w:left="360"/>
        <w:jc w:val="center"/>
        <w:rPr>
          <w:rFonts w:ascii="Poppins" w:hAnsi="Poppins" w:cs="Poppins"/>
          <w:color w:val="124F1A" w:themeColor="accent3" w:themeShade="BF"/>
          <w:sz w:val="36"/>
          <w:szCs w:val="36"/>
          <w:lang w:val="en-GB"/>
        </w:rPr>
      </w:pPr>
      <w:bookmarkStart w:id="0" w:name="_Toc199964135"/>
      <w:bookmarkStart w:id="1" w:name="_Toc187013342"/>
      <w:bookmarkStart w:id="2" w:name="_Toc188269369"/>
      <w:bookmarkStart w:id="3" w:name="_Toc188282630"/>
    </w:p>
    <w:bookmarkEnd w:id="0"/>
    <w:bookmarkEnd w:id="1"/>
    <w:bookmarkEnd w:id="2"/>
    <w:bookmarkEnd w:id="3"/>
    <w:p w14:paraId="416B904C" w14:textId="77777777" w:rsidR="009742EB" w:rsidRDefault="009742EB" w:rsidP="009742EB">
      <w:pPr>
        <w:pStyle w:val="Titolo4"/>
        <w:jc w:val="center"/>
        <w:rPr>
          <w:rFonts w:ascii="Poppins" w:hAnsi="Poppins" w:cs="Poppins"/>
          <w:i w:val="0"/>
          <w:iCs w:val="0"/>
          <w:color w:val="124F1A" w:themeColor="accent3" w:themeShade="BF"/>
          <w:sz w:val="36"/>
          <w:szCs w:val="36"/>
          <w:lang w:val="en-GB"/>
        </w:rPr>
      </w:pPr>
      <w:r w:rsidRPr="009742EB">
        <w:rPr>
          <w:rFonts w:ascii="Poppins" w:hAnsi="Poppins" w:cs="Poppins"/>
          <w:i w:val="0"/>
          <w:iCs w:val="0"/>
          <w:color w:val="124F1A" w:themeColor="accent3" w:themeShade="BF"/>
          <w:sz w:val="36"/>
          <w:szCs w:val="36"/>
          <w:lang w:val="en-GB"/>
        </w:rPr>
        <w:t>Supporto per i familiari anziani e responsabilità di assistenza</w:t>
      </w:r>
    </w:p>
    <w:p w14:paraId="7F703070" w14:textId="77777777" w:rsidR="009742EB" w:rsidRPr="009742EB" w:rsidRDefault="009742EB" w:rsidP="009742EB">
      <w:pPr>
        <w:rPr>
          <w:lang w:val="en-GB"/>
        </w:rPr>
      </w:pPr>
    </w:p>
    <w:p w14:paraId="568B81E9" w14:textId="77777777" w:rsidR="009742EB" w:rsidRPr="009742EB" w:rsidRDefault="009742EB" w:rsidP="009742EB">
      <w:pPr>
        <w:jc w:val="both"/>
        <w:rPr>
          <w:rFonts w:ascii="Poppins" w:hAnsi="Poppins" w:cs="Poppins"/>
          <w:lang w:val="en-GB"/>
        </w:rPr>
      </w:pPr>
      <w:r w:rsidRPr="009742EB">
        <w:rPr>
          <w:rFonts w:ascii="Poppins" w:hAnsi="Poppins" w:cs="Poppins"/>
          <w:lang w:val="en-GB"/>
        </w:rPr>
        <w:t>Il secondo punto di intersezione che emerge dalle interviste riguarda i servizi rivolti ai dipendenti con responsabilità di assistenza a familiari anziani.</w:t>
      </w:r>
    </w:p>
    <w:p w14:paraId="41039A5E" w14:textId="77777777" w:rsidR="009742EB" w:rsidRPr="009742EB" w:rsidRDefault="009742EB" w:rsidP="009742EB">
      <w:pPr>
        <w:jc w:val="both"/>
        <w:rPr>
          <w:rFonts w:ascii="Poppins" w:hAnsi="Poppins" w:cs="Poppins"/>
          <w:lang w:val="en-GB"/>
        </w:rPr>
      </w:pPr>
      <w:r w:rsidRPr="009742EB">
        <w:rPr>
          <w:rFonts w:ascii="Poppins" w:hAnsi="Poppins" w:cs="Poppins"/>
          <w:lang w:val="en-GB"/>
        </w:rPr>
        <w:t>Gli operatori sottolineano in particolare la crescente “generazione sandwich”: uomini e donne di età compresa tra i 40 e i 55 anni che, pur continuando a crescere figli a carico, si ritrovano anche a dover prendersi cura di anziani non autosufficienti.</w:t>
      </w:r>
    </w:p>
    <w:p w14:paraId="4245D001" w14:textId="77777777" w:rsidR="009742EB" w:rsidRPr="009742EB" w:rsidRDefault="009742EB" w:rsidP="009742EB">
      <w:pPr>
        <w:jc w:val="both"/>
        <w:rPr>
          <w:rFonts w:ascii="Poppins" w:hAnsi="Poppins" w:cs="Poppins"/>
          <w:lang w:val="en-GB"/>
        </w:rPr>
      </w:pPr>
      <w:r w:rsidRPr="009742EB">
        <w:rPr>
          <w:rFonts w:ascii="Poppins" w:hAnsi="Poppins" w:cs="Poppins"/>
          <w:lang w:val="en-GB"/>
        </w:rPr>
        <w:t>Questo duplice onere dà origine a una serie di bisogni che i tradizionali piani di welfare affrontano solo parzialmente.</w:t>
      </w:r>
    </w:p>
    <w:p w14:paraId="0B4997A0" w14:textId="77777777" w:rsidR="009742EB" w:rsidRPr="009742EB" w:rsidRDefault="009742EB" w:rsidP="009742EB">
      <w:pPr>
        <w:jc w:val="both"/>
        <w:rPr>
          <w:rFonts w:ascii="Poppins" w:hAnsi="Poppins" w:cs="Poppins"/>
          <w:lang w:val="en-GB"/>
        </w:rPr>
      </w:pPr>
      <w:r w:rsidRPr="009742EB">
        <w:rPr>
          <w:rFonts w:ascii="Poppins" w:hAnsi="Poppins" w:cs="Poppins"/>
          <w:lang w:val="en-GB"/>
        </w:rPr>
        <w:t>I responsabili delle piattaforme ibride maggiormente incentrate sulla cura delle persone segnalano che la richiesta iniziale dei dipendenti non riguarda un sostegno finanziario o servizi di assistenza diretta, bensì una guida: assistenza per orientarsi nella Legge 104, nei Piani di assistenza individuale, nelle detrazioni fiscali, nei sussidi governativi e nelle offerte di servizi locali.</w:t>
      </w:r>
    </w:p>
    <w:p w14:paraId="214A7FC3" w14:textId="77777777" w:rsidR="009742EB" w:rsidRPr="009742EB" w:rsidRDefault="009742EB" w:rsidP="009742EB">
      <w:pPr>
        <w:jc w:val="both"/>
        <w:rPr>
          <w:rFonts w:ascii="Poppins" w:hAnsi="Poppins" w:cs="Poppins"/>
          <w:lang w:val="en-GB"/>
        </w:rPr>
      </w:pPr>
      <w:r w:rsidRPr="009742EB">
        <w:rPr>
          <w:rFonts w:ascii="Poppins" w:hAnsi="Poppins" w:cs="Poppins"/>
          <w:lang w:val="en-GB"/>
        </w:rPr>
        <w:t>Ciò ha portato allo sviluppo di sportelli di supporto all’assistenza e di moduli di “intermediazione intelligente”, che aiutano i dipendenti a sfruttare al meglio le risorse esistenti integrandole con i servizi disponibili sulla piattaforma.</w:t>
      </w:r>
    </w:p>
    <w:p w14:paraId="42141CE1" w14:textId="77777777" w:rsidR="009742EB" w:rsidRPr="009742EB" w:rsidRDefault="009742EB" w:rsidP="009742EB">
      <w:pPr>
        <w:jc w:val="both"/>
        <w:rPr>
          <w:rFonts w:ascii="Poppins" w:hAnsi="Poppins" w:cs="Poppins"/>
          <w:lang w:val="en-GB"/>
        </w:rPr>
      </w:pPr>
      <w:r w:rsidRPr="009742EB">
        <w:rPr>
          <w:rFonts w:ascii="Poppins" w:hAnsi="Poppins" w:cs="Poppins"/>
          <w:lang w:val="en-GB"/>
        </w:rPr>
        <w:t>Oltre ai servizi di orientamento e consulenza, cresce la domanda di consulenza psicologica e di assistenza temporanea per prevenire il burnout. Anche i servizi che consentono di risparmiare tempo – dalla consegna di pacchi e farmaci alla lavanderia e al supporto amministrativo – sono riconosciuti come preziosi strumenti per l'equilibrio tra lavoro e vita privata, particolarmente utili per i caregiver, sebbene siano offerti all'intera forza lavoro.</w:t>
      </w:r>
    </w:p>
    <w:p w14:paraId="18A4B0B1" w14:textId="2CD3CF57" w:rsidR="009742EB" w:rsidRPr="009742EB" w:rsidRDefault="009742EB" w:rsidP="009742EB">
      <w:pPr>
        <w:jc w:val="both"/>
        <w:rPr>
          <w:rFonts w:ascii="Poppins" w:hAnsi="Poppins" w:cs="Poppins"/>
          <w:lang w:val="en-GB"/>
        </w:rPr>
      </w:pPr>
      <w:r w:rsidRPr="009742EB">
        <w:rPr>
          <w:rFonts w:ascii="Poppins" w:hAnsi="Poppins" w:cs="Poppins"/>
          <w:lang w:val="en-GB"/>
        </w:rPr>
        <w:t>A questo proposito, viene evidenziata una questione fiscale che ostacola sia l'innovazione sia la più ampia diffusione di tali servizi. L'articolo 51 del TUIR non riconosce esplicitamente il valore sociale di questi servizi, creando incertezza circa la loro ammissibilità</w:t>
      </w:r>
      <w:r w:rsidR="00DD1751">
        <w:rPr>
          <w:rFonts w:ascii="Poppins" w:hAnsi="Poppins" w:cs="Poppins"/>
          <w:lang w:val="en-GB"/>
        </w:rPr>
        <w:tab/>
      </w:r>
      <w:r w:rsidRPr="009742EB">
        <w:rPr>
          <w:rFonts w:ascii="Poppins" w:hAnsi="Poppins" w:cs="Poppins"/>
          <w:lang w:val="en-GB"/>
        </w:rPr>
        <w:t>all'esenzione</w:t>
      </w:r>
      <w:r w:rsidR="00DD1751">
        <w:rPr>
          <w:rFonts w:ascii="Poppins" w:hAnsi="Poppins" w:cs="Poppins"/>
          <w:lang w:val="en-GB"/>
        </w:rPr>
        <w:tab/>
      </w:r>
      <w:r w:rsidR="00DD1751">
        <w:rPr>
          <w:rFonts w:ascii="Poppins" w:hAnsi="Poppins" w:cs="Poppins"/>
          <w:lang w:val="en-GB"/>
        </w:rPr>
        <w:tab/>
      </w:r>
      <w:r w:rsidRPr="009742EB">
        <w:rPr>
          <w:rFonts w:ascii="Poppins" w:hAnsi="Poppins" w:cs="Poppins"/>
          <w:lang w:val="en-GB"/>
        </w:rPr>
        <w:t xml:space="preserve">fiscale. </w:t>
      </w:r>
      <w:r w:rsidRPr="009742EB">
        <w:rPr>
          <w:rFonts w:ascii="Poppins" w:hAnsi="Poppins" w:cs="Poppins"/>
          <w:lang w:val="en-GB"/>
        </w:rPr>
        <w:br/>
        <w:t>Finché il quadro normativo rimarrà poco chiaro, tali soluzioni continueranno a</w:t>
      </w:r>
      <w:r w:rsidR="00DD1751">
        <w:rPr>
          <w:rFonts w:ascii="Poppins" w:hAnsi="Poppins" w:cs="Poppins"/>
          <w:lang w:val="en-GB"/>
        </w:rPr>
        <w:t>d</w:t>
      </w:r>
      <w:r w:rsidRPr="009742EB">
        <w:rPr>
          <w:rFonts w:ascii="Poppins" w:hAnsi="Poppins" w:cs="Poppins"/>
          <w:lang w:val="en-GB"/>
        </w:rPr>
        <w:t xml:space="preserve"> essere iniziative di nicchia, adottate "in aggiunta" solo da aziende con un forte impegno sociale, o da fornitori disposti ad accettare margini inferiori per integrare servizi ad alto valore aggiunto nella propria offerta.</w:t>
      </w:r>
    </w:p>
    <w:p w14:paraId="011B3EB0" w14:textId="77777777" w:rsidR="009742EB" w:rsidRPr="009742EB" w:rsidRDefault="009742EB" w:rsidP="009742EB">
      <w:pPr>
        <w:jc w:val="both"/>
        <w:rPr>
          <w:rFonts w:ascii="Poppins" w:hAnsi="Poppins" w:cs="Poppins"/>
          <w:lang w:val="en-GB"/>
        </w:rPr>
      </w:pPr>
    </w:p>
    <w:p w14:paraId="0D4084E3" w14:textId="77777777" w:rsidR="009742EB" w:rsidRPr="009742EB" w:rsidRDefault="009742EB" w:rsidP="009742EB">
      <w:pPr>
        <w:jc w:val="both"/>
        <w:rPr>
          <w:rFonts w:ascii="Poppins" w:hAnsi="Poppins" w:cs="Poppins"/>
          <w:lang w:val="en-GB"/>
        </w:rPr>
      </w:pPr>
      <w:r w:rsidRPr="009742EB">
        <w:rPr>
          <w:rFonts w:ascii="Poppins" w:hAnsi="Poppins" w:cs="Poppins"/>
          <w:lang w:val="en-GB"/>
        </w:rPr>
        <w:lastRenderedPageBreak/>
        <w:t>Un intervistato ha osservato che il carico di assistenza associato ai familiari anziani spesso si manifesta all'improvviso, portando con sé un senso di disorientamento e isolamento. Dal punto di vista dell'azienda, questo si traduce spesso in una diminuzione della produttività e in un aumento dell'assenteismo, spesso fraintesi sia dai colleghi che dai datori di lavoro.</w:t>
      </w:r>
    </w:p>
    <w:p w14:paraId="7F36AC9D" w14:textId="77777777" w:rsidR="009742EB" w:rsidRPr="009742EB" w:rsidRDefault="009742EB" w:rsidP="009742EB">
      <w:pPr>
        <w:ind w:left="720"/>
        <w:jc w:val="both"/>
        <w:rPr>
          <w:rFonts w:ascii="Poppins" w:hAnsi="Poppins" w:cs="Poppins"/>
        </w:rPr>
      </w:pPr>
      <w:r w:rsidRPr="009742EB">
        <w:rPr>
          <w:rFonts w:ascii="Poppins" w:hAnsi="Poppins" w:cs="Poppins"/>
        </w:rPr>
        <w:t>[«</w:t>
      </w:r>
      <w:r w:rsidRPr="009742EB">
        <w:rPr>
          <w:rFonts w:ascii="Poppins" w:hAnsi="Poppins" w:cs="Poppins"/>
          <w:color w:val="0B4E3B"/>
        </w:rPr>
        <w:t>Quando a un collega nasce un figlio tutti si congratulano; invece uno che invece diventa caregiver non è così felice di comunicarlo a tutti. Quindi c’è anche un po’ di stigma, anche di “mis-comprensione” per alcuni comportamenti del collega che si assenta dal lavoro e che non se ne comprende il motivo</w:t>
      </w:r>
      <w:r w:rsidRPr="009742EB">
        <w:rPr>
          <w:rFonts w:ascii="Poppins" w:hAnsi="Poppins" w:cs="Poppins"/>
        </w:rPr>
        <w:t>.», Pure Provider C]</w:t>
      </w:r>
    </w:p>
    <w:p w14:paraId="74972373" w14:textId="77777777" w:rsidR="00DD1751" w:rsidRPr="009742EB" w:rsidRDefault="00DD1751" w:rsidP="00E322F1">
      <w:pPr>
        <w:jc w:val="both"/>
        <w:rPr>
          <w:rFonts w:ascii="Poppins" w:hAnsi="Poppins" w:cs="Poppins"/>
          <w:lang w:val="en-GB"/>
        </w:rPr>
      </w:pPr>
      <w:r w:rsidRPr="009742EB">
        <w:rPr>
          <w:rFonts w:ascii="Poppins" w:hAnsi="Poppins" w:cs="Poppins"/>
        </w:rPr>
        <w:t>La risposta proposta a questa sfida prevede l'organizzazione di seminari di sensibilizzazione e di comunità interne per normalizzare l'argomento, favorire la comprensione reciproca tra colleghi e offrire uno spazio sicuro per la condivisione di esperienze.</w:t>
      </w:r>
    </w:p>
    <w:p w14:paraId="74B46F5F" w14:textId="77777777" w:rsidR="009742EB" w:rsidRPr="009742EB" w:rsidRDefault="009742EB" w:rsidP="009742EB">
      <w:pPr>
        <w:jc w:val="both"/>
        <w:rPr>
          <w:rFonts w:ascii="Poppins" w:hAnsi="Poppins" w:cs="Poppins"/>
          <w:lang w:val="en-GB"/>
        </w:rPr>
      </w:pPr>
      <w:r w:rsidRPr="009742EB">
        <w:rPr>
          <w:rFonts w:ascii="Poppins" w:hAnsi="Poppins" w:cs="Poppins"/>
          <w:lang w:val="en-GB"/>
        </w:rPr>
        <w:t xml:space="preserve">Una delle best practice evidenziate è un'iniziativa innovativa di welfare sviluppata da un system integrator in collaborazione con un'azienda cliente e partner locali, attraverso un workshop di co-progettazione incentrato sull'assistenza "leggera" e sull'insorgenza precoce della non autosufficienza negli anziani. </w:t>
      </w:r>
      <w:r w:rsidRPr="009742EB">
        <w:rPr>
          <w:rFonts w:ascii="Poppins" w:hAnsi="Poppins" w:cs="Poppins"/>
          <w:lang w:val="en-GB"/>
        </w:rPr>
        <w:br/>
        <w:t>Questo sforzo collaborativo ha portato alla creazione di un opuscolo pratico , disponibile anche in formato fumetto, progettato per fornire consigli concreti, contatti utili e informazioni chiare e accessibili per aumentare la consapevolezza sulle problematiche legate all'assistenza, supportare gli operatori sanitari nell'orientamento delle risorse disponibili e orientarli verso servizi appropriati.</w:t>
      </w:r>
    </w:p>
    <w:p w14:paraId="49217F3B" w14:textId="77777777" w:rsidR="009742EB" w:rsidRPr="009742EB" w:rsidRDefault="009742EB" w:rsidP="009742EB">
      <w:pPr>
        <w:jc w:val="both"/>
        <w:rPr>
          <w:rFonts w:ascii="Poppins" w:hAnsi="Poppins" w:cs="Poppins"/>
          <w:lang w:val="en-GB"/>
        </w:rPr>
      </w:pPr>
      <w:r w:rsidRPr="009742EB">
        <w:rPr>
          <w:rFonts w:ascii="Poppins" w:hAnsi="Poppins" w:cs="Poppins"/>
          <w:lang w:val="en-GB"/>
        </w:rPr>
        <w:t xml:space="preserve">Questa iniziativa è considerata un esempio virtuoso perché supera la logica tradizionale del welfare come mera erogazione di servizi tramite piattaforme digitali. Dimostra un impegno concreto nell'ascolto, nella comprensione e nella risposta ai reali bisogni di lavoratori e cittadini. </w:t>
      </w:r>
      <w:r w:rsidRPr="009742EB">
        <w:rPr>
          <w:rFonts w:ascii="Poppins" w:hAnsi="Poppins" w:cs="Poppins"/>
          <w:lang w:val="en-GB"/>
        </w:rPr>
        <w:br/>
        <w:t>Genera un valore aggiunto tangibile per la comunità più ampia, rafforza il legame dell'azienda promotrice con il territorio e adotta una prospettiva di lungo termine nella gestione dei bisogni di cura di dipendenti e famiglie.</w:t>
      </w:r>
    </w:p>
    <w:p w14:paraId="251ACDAE" w14:textId="77777777" w:rsidR="009742EB" w:rsidRPr="009742EB" w:rsidRDefault="009742EB" w:rsidP="009742EB">
      <w:pPr>
        <w:jc w:val="both"/>
        <w:rPr>
          <w:rFonts w:ascii="Poppins" w:hAnsi="Poppins" w:cs="Poppins"/>
          <w:lang w:val="en-GB"/>
        </w:rPr>
      </w:pPr>
      <w:r w:rsidRPr="009742EB">
        <w:rPr>
          <w:rFonts w:ascii="Poppins" w:hAnsi="Poppins" w:cs="Poppins"/>
          <w:lang w:val="en-GB"/>
        </w:rPr>
        <w:t xml:space="preserve">Da un punto di vista operativo, gli intervistati hanno segnalato un utilizzo limitato delle misure previste dall'articolo 51 del TUIR in materia di rimborsi per assistenza domiciliare, frequenza a centri diurni o ricovero in strutture residenziali per familiari anziani non autosufficienti. </w:t>
      </w:r>
      <w:r w:rsidRPr="009742EB">
        <w:rPr>
          <w:rFonts w:ascii="Poppins" w:hAnsi="Poppins" w:cs="Poppins"/>
          <w:lang w:val="en-GB"/>
        </w:rPr>
        <w:br/>
        <w:t xml:space="preserve">La principale spiegazione di questa limitata adozione risiede nell'elevato costo di tali servizi, che spesso supera l'importo del credito assistenziale disponibile per i dipendenti. Secondo alcuni intervistati, le uniche eccezioni si osservano generalmente nei casi di </w:t>
      </w:r>
      <w:r w:rsidRPr="009742EB">
        <w:rPr>
          <w:rFonts w:ascii="Poppins" w:hAnsi="Poppins" w:cs="Poppins"/>
          <w:lang w:val="en-GB"/>
        </w:rPr>
        <w:lastRenderedPageBreak/>
        <w:t>generosa conversione dei premi di risultato, tipicamente riservati al personale dirigente o ai reparti aziendali ad alta produttività.</w:t>
      </w:r>
    </w:p>
    <w:p w14:paraId="10515E7C" w14:textId="77777777" w:rsidR="009742EB" w:rsidRPr="009742EB" w:rsidRDefault="009742EB" w:rsidP="009742EB">
      <w:pPr>
        <w:jc w:val="both"/>
        <w:rPr>
          <w:rFonts w:ascii="Poppins" w:hAnsi="Poppins" w:cs="Poppins"/>
          <w:lang w:val="en-GB"/>
        </w:rPr>
      </w:pPr>
      <w:r w:rsidRPr="009742EB">
        <w:rPr>
          <w:rFonts w:ascii="Poppins" w:hAnsi="Poppins" w:cs="Poppins"/>
          <w:lang w:val="en-GB"/>
        </w:rPr>
        <w:t>Un secondo ostacolo individuato riguarda la complessità della procedura di richiesta sulle piattaforme di welfare. Questo processo "non è qualcosa che può essere completato con un solo clic" [Integratore di sistema (territoriale) A]: la prenotazione del servizio richiede in genere al dipendente di contattare direttamente il fornitore o un intermediario, spiegare dettagliatamente la propria situazione, valutare diverse opzioni e quindi verificarne la disponibilità. Nel caso dei servizi a rimborso, il processo è percepito anche come macchinoso e dall'esito incerto [Fornitore puro A].</w:t>
      </w:r>
    </w:p>
    <w:p w14:paraId="1CA27F75" w14:textId="77777777" w:rsidR="009742EB" w:rsidRPr="009742EB" w:rsidRDefault="009742EB" w:rsidP="009742EB">
      <w:pPr>
        <w:jc w:val="both"/>
        <w:rPr>
          <w:rFonts w:ascii="Poppins" w:hAnsi="Poppins" w:cs="Poppins"/>
          <w:lang w:val="en-GB"/>
        </w:rPr>
      </w:pPr>
      <w:r w:rsidRPr="009742EB">
        <w:rPr>
          <w:rFonts w:ascii="Poppins" w:hAnsi="Poppins" w:cs="Poppins"/>
          <w:lang w:val="en-GB"/>
        </w:rPr>
        <w:t>Un fornitore, che annovera tra i suoi partner operatori specializzati in assistenza geriatrica, ha riferito di aver sviluppato una procedura guidata semplificata che consente agli utenti di ottenere rimborsi in tempi rapidi. Tuttavia, anche in questo caso, l'adesione rimane bassa rispetto ai livelli di interesse espressi nelle indagini di valutazione dei bisogni [Pure Provider D].</w:t>
      </w:r>
    </w:p>
    <w:p w14:paraId="21007F20" w14:textId="77777777" w:rsidR="009742EB" w:rsidRPr="009742EB" w:rsidRDefault="009742EB" w:rsidP="009742EB">
      <w:pPr>
        <w:jc w:val="both"/>
        <w:rPr>
          <w:rFonts w:ascii="Poppins" w:hAnsi="Poppins" w:cs="Poppins"/>
          <w:lang w:val="en-GB"/>
        </w:rPr>
      </w:pPr>
      <w:r w:rsidRPr="009742EB">
        <w:rPr>
          <w:rFonts w:ascii="Poppins" w:hAnsi="Poppins" w:cs="Poppins"/>
          <w:lang w:val="en-GB"/>
        </w:rPr>
        <w:t>Un'altra possibile spiegazione, avanzata da alcuni intervistati, riguarda il fatto che i costi dei servizi offerti tramite la piattaforma potrebbero essere più elevati rispetto a quelli disponibili tramite altri canali di mercato.</w:t>
      </w:r>
    </w:p>
    <w:p w14:paraId="2B19BD60" w14:textId="77777777" w:rsidR="009742EB" w:rsidRPr="009742EB" w:rsidRDefault="009742EB" w:rsidP="009742EB">
      <w:pPr>
        <w:jc w:val="both"/>
        <w:rPr>
          <w:rFonts w:ascii="Poppins" w:hAnsi="Poppins" w:cs="Poppins"/>
          <w:lang w:val="en-GB"/>
        </w:rPr>
      </w:pPr>
      <w:r w:rsidRPr="009742EB">
        <w:rPr>
          <w:rFonts w:ascii="Poppins" w:hAnsi="Poppins" w:cs="Poppins"/>
          <w:lang w:val="en-GB"/>
        </w:rPr>
        <w:t>L'esempio più emblematico è quello degli assistenti domiciliari, un settore in cui il lavoro sommerso o semi-regolare è ancora diffuso. Di conseguenza, per molte famiglie, le soluzioni informali risultano spesso più accessibili rispetto ai servizi formalizzati disponibili sulle piattaforme di welfare.</w:t>
      </w:r>
    </w:p>
    <w:p w14:paraId="1582E20C" w14:textId="77777777" w:rsidR="009742EB" w:rsidRPr="009742EB" w:rsidRDefault="009742EB" w:rsidP="009742EB">
      <w:pPr>
        <w:jc w:val="both"/>
        <w:rPr>
          <w:rFonts w:ascii="Poppins" w:hAnsi="Poppins" w:cs="Poppins"/>
          <w:lang w:val="en-GB"/>
        </w:rPr>
      </w:pPr>
      <w:r w:rsidRPr="009742EB">
        <w:rPr>
          <w:rFonts w:ascii="Poppins" w:hAnsi="Poppins" w:cs="Poppins"/>
          <w:lang w:val="en-GB"/>
        </w:rPr>
        <w:t>Un'altra ragione del sottoutilizzo di tali servizi potrebbe risiedere nella loro limitata attrattività economica per i fornitori non specializzati nella loro erogazione. In assenza di campagne informative mirate, i servizi di assistenza agli anziani tendono a rimanere nascosti all'interno del vasto catalogo della piattaforma.</w:t>
      </w:r>
    </w:p>
    <w:p w14:paraId="5926957D" w14:textId="30A2FDDC" w:rsidR="009742EB" w:rsidRPr="009742EB" w:rsidRDefault="009742EB" w:rsidP="009742EB">
      <w:pPr>
        <w:jc w:val="both"/>
        <w:rPr>
          <w:rFonts w:ascii="Poppins" w:hAnsi="Poppins" w:cs="Poppins"/>
          <w:lang w:val="en-GB"/>
        </w:rPr>
      </w:pPr>
      <w:r w:rsidRPr="009742EB">
        <w:rPr>
          <w:rFonts w:ascii="Poppins" w:hAnsi="Poppins" w:cs="Poppins"/>
          <w:lang w:val="en-GB"/>
        </w:rPr>
        <w:t xml:space="preserve">Tuttavia, dalle interviste sono emerse anche diverse soluzioni innovative che potrebbero favorire un maggiore utilizzo di questi servizi attraverso il canale </w:t>
      </w:r>
      <w:r w:rsidRPr="009742EB">
        <w:rPr>
          <w:rFonts w:ascii="Poppins" w:hAnsi="Poppins" w:cs="Poppins"/>
          <w:i/>
          <w:iCs/>
          <w:lang w:val="en-GB"/>
        </w:rPr>
        <w:t>del welfare aziendale</w:t>
      </w:r>
      <w:r w:rsidR="00DD1751">
        <w:rPr>
          <w:rFonts w:ascii="Poppins" w:hAnsi="Poppins" w:cs="Poppins"/>
          <w:i/>
          <w:iCs/>
          <w:lang w:val="en-GB"/>
        </w:rPr>
        <w:t>.</w:t>
      </w:r>
      <w:r w:rsidRPr="009742EB">
        <w:rPr>
          <w:rFonts w:ascii="Poppins" w:hAnsi="Poppins" w:cs="Poppins"/>
          <w:lang w:val="en-GB"/>
        </w:rPr>
        <w:t xml:space="preserve"> Tra le più significative, le </w:t>
      </w:r>
      <w:r w:rsidRPr="009742EB">
        <w:rPr>
          <w:rFonts w:ascii="Poppins" w:hAnsi="Poppins" w:cs="Poppins"/>
          <w:b/>
          <w:bCs/>
          <w:lang w:val="en-GB"/>
        </w:rPr>
        <w:t>strategie di bonus matching</w:t>
      </w:r>
      <w:r w:rsidRPr="009742EB">
        <w:rPr>
          <w:rFonts w:ascii="Poppins" w:hAnsi="Poppins" w:cs="Poppins"/>
          <w:lang w:val="en-GB"/>
        </w:rPr>
        <w:t>, che abbinano il credito assistenziale a contributi finanziari pubblici (a livello nazionale o locale) utilizzabili presso strutture accreditate.</w:t>
      </w:r>
    </w:p>
    <w:p w14:paraId="3841BFEA" w14:textId="77F1BDAE" w:rsidR="009742EB" w:rsidRPr="009742EB" w:rsidRDefault="009742EB" w:rsidP="009742EB">
      <w:pPr>
        <w:jc w:val="both"/>
        <w:rPr>
          <w:rFonts w:ascii="Poppins" w:hAnsi="Poppins" w:cs="Poppins"/>
          <w:lang w:val="en-GB"/>
        </w:rPr>
      </w:pPr>
      <w:r w:rsidRPr="009742EB">
        <w:rPr>
          <w:rFonts w:ascii="Poppins" w:hAnsi="Poppins" w:cs="Poppins"/>
          <w:lang w:val="en-GB"/>
        </w:rPr>
        <w:t xml:space="preserve">Un ulteriore sviluppo proviene dai fornitori ibridi e dagli integratori di sistema che hanno introdotto </w:t>
      </w:r>
      <w:r w:rsidRPr="009742EB">
        <w:rPr>
          <w:rFonts w:ascii="Poppins" w:hAnsi="Poppins" w:cs="Poppins"/>
          <w:b/>
          <w:bCs/>
          <w:lang w:val="en-GB"/>
        </w:rPr>
        <w:t>figure intermediarie specializzate</w:t>
      </w:r>
      <w:r w:rsidRPr="009742EB">
        <w:rPr>
          <w:rFonts w:ascii="Poppins" w:hAnsi="Poppins" w:cs="Poppins"/>
          <w:lang w:val="en-GB"/>
        </w:rPr>
        <w:t>, rese disponibili direttamente attraverso la piattaforma di welfare. Questi professionisti supportano caregiver e beneficiari nella redazione dei Piani di Assistenza Individualizzati, nella selezione dei fornitori di servizi e nel facilitare l'accesso a sussidi e benefit disponibili da diverse fonti.</w:t>
      </w:r>
    </w:p>
    <w:p w14:paraId="4D6C563D" w14:textId="77777777" w:rsidR="009742EB" w:rsidRPr="009742EB" w:rsidRDefault="009742EB" w:rsidP="009742EB">
      <w:pPr>
        <w:jc w:val="both"/>
        <w:rPr>
          <w:rFonts w:ascii="Poppins" w:hAnsi="Poppins" w:cs="Poppins"/>
          <w:lang w:val="en-GB"/>
        </w:rPr>
      </w:pPr>
      <w:r w:rsidRPr="009742EB">
        <w:rPr>
          <w:rFonts w:ascii="Poppins" w:hAnsi="Poppins" w:cs="Poppins"/>
          <w:lang w:val="en-GB"/>
        </w:rPr>
        <w:lastRenderedPageBreak/>
        <w:t xml:space="preserve">Una delle buone pratiche più degne di nota evidenziata dagli intervistati riguarda la fornitura diretta di un pacchetto prepagato di ore di “assistenza leggera”, offerto </w:t>
      </w:r>
      <w:r w:rsidRPr="009742EB">
        <w:rPr>
          <w:rFonts w:ascii="Poppins" w:hAnsi="Poppins" w:cs="Poppins"/>
          <w:i/>
          <w:iCs/>
          <w:lang w:val="en-GB"/>
        </w:rPr>
        <w:t xml:space="preserve">in </w:t>
      </w:r>
      <w:r w:rsidRPr="009742EB">
        <w:rPr>
          <w:rFonts w:ascii="Poppins" w:hAnsi="Poppins" w:cs="Poppins"/>
          <w:lang w:val="en-GB"/>
        </w:rPr>
        <w:t>aggiunta al credito di assistenza sociale standard dall’azienda.</w:t>
      </w:r>
    </w:p>
    <w:p w14:paraId="50354105" w14:textId="77777777" w:rsidR="009742EB" w:rsidRPr="009742EB" w:rsidRDefault="009742EB" w:rsidP="009742EB">
      <w:pPr>
        <w:jc w:val="both"/>
        <w:rPr>
          <w:rFonts w:ascii="Poppins" w:hAnsi="Poppins" w:cs="Poppins"/>
          <w:lang w:val="en-GB"/>
        </w:rPr>
      </w:pPr>
      <w:r w:rsidRPr="009742EB">
        <w:rPr>
          <w:rFonts w:ascii="Poppins" w:hAnsi="Poppins" w:cs="Poppins"/>
          <w:lang w:val="en-GB"/>
        </w:rPr>
        <w:t>Questo modello è considerato particolarmente efficace perché riduce la complessità delle procedure amministrative standard per gli utenti e consente un accesso rapido e flessibile al supporto, particolarmente utile in situazioni di necessità temporanea o di emergenza. Tali casi sono spesso esclusi dalle politiche pubbliche tradizionali a causa dell'assenza di un riconoscimento formale dello stato di disabilità o di non autosufficienza della persona assistita [Fornitore ibrido B].</w:t>
      </w:r>
    </w:p>
    <w:p w14:paraId="70317951" w14:textId="77777777" w:rsidR="007A39E0" w:rsidRPr="009742EB" w:rsidRDefault="007A39E0" w:rsidP="009742EB">
      <w:pPr>
        <w:pStyle w:val="Titolo2"/>
        <w:jc w:val="both"/>
        <w:rPr>
          <w:rFonts w:ascii="Poppins" w:hAnsi="Poppins" w:cs="Poppins"/>
          <w:color w:val="124F1A" w:themeColor="accent3" w:themeShade="BF"/>
          <w:sz w:val="22"/>
          <w:szCs w:val="22"/>
          <w:lang w:val="en-GB"/>
        </w:rPr>
      </w:pPr>
    </w:p>
    <w:sectPr w:rsidR="007A39E0" w:rsidRPr="009742EB">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7B3FD" w14:textId="77777777" w:rsidR="00A14416" w:rsidRDefault="00A14416" w:rsidP="0079697F">
      <w:r>
        <w:separator/>
      </w:r>
    </w:p>
  </w:endnote>
  <w:endnote w:type="continuationSeparator" w:id="0">
    <w:p w14:paraId="349DF643" w14:textId="77777777" w:rsidR="00A14416" w:rsidRDefault="00A14416"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D8E23" w14:textId="77777777" w:rsidR="00A14416" w:rsidRDefault="00A14416" w:rsidP="0079697F">
      <w:r>
        <w:separator/>
      </w:r>
    </w:p>
  </w:footnote>
  <w:footnote w:type="continuationSeparator" w:id="0">
    <w:p w14:paraId="551CA54C" w14:textId="77777777" w:rsidR="00A14416" w:rsidRDefault="00A14416"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585F"/>
    <w:multiLevelType w:val="multilevel"/>
    <w:tmpl w:val="EA48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F541D"/>
    <w:multiLevelType w:val="hybridMultilevel"/>
    <w:tmpl w:val="385452A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3" w15:restartNumberingAfterBreak="0">
    <w:nsid w:val="77B07491"/>
    <w:multiLevelType w:val="multilevel"/>
    <w:tmpl w:val="54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449925">
    <w:abstractNumId w:val="2"/>
  </w:num>
  <w:num w:numId="2" w16cid:durableId="499663861">
    <w:abstractNumId w:val="1"/>
  </w:num>
  <w:num w:numId="3" w16cid:durableId="2102945104">
    <w:abstractNumId w:val="0"/>
  </w:num>
  <w:num w:numId="4" w16cid:durableId="111940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23DFC"/>
    <w:rsid w:val="0005490A"/>
    <w:rsid w:val="000D55C8"/>
    <w:rsid w:val="001108E7"/>
    <w:rsid w:val="001268BF"/>
    <w:rsid w:val="001D0BC5"/>
    <w:rsid w:val="001F2272"/>
    <w:rsid w:val="002F6176"/>
    <w:rsid w:val="00352CBC"/>
    <w:rsid w:val="00454C07"/>
    <w:rsid w:val="004C1BB9"/>
    <w:rsid w:val="004C207B"/>
    <w:rsid w:val="00545AD2"/>
    <w:rsid w:val="00631427"/>
    <w:rsid w:val="00737108"/>
    <w:rsid w:val="00775CAA"/>
    <w:rsid w:val="0079697F"/>
    <w:rsid w:val="007A39E0"/>
    <w:rsid w:val="00806D9D"/>
    <w:rsid w:val="00854359"/>
    <w:rsid w:val="008813E0"/>
    <w:rsid w:val="008D1363"/>
    <w:rsid w:val="009742EB"/>
    <w:rsid w:val="009770E2"/>
    <w:rsid w:val="00A0407F"/>
    <w:rsid w:val="00A14416"/>
    <w:rsid w:val="00A42980"/>
    <w:rsid w:val="00A560ED"/>
    <w:rsid w:val="00AC58FF"/>
    <w:rsid w:val="00AE6E0D"/>
    <w:rsid w:val="00B665DD"/>
    <w:rsid w:val="00B72DDC"/>
    <w:rsid w:val="00BB3C6F"/>
    <w:rsid w:val="00C72F59"/>
    <w:rsid w:val="00CA1755"/>
    <w:rsid w:val="00CF3DA8"/>
    <w:rsid w:val="00D34108"/>
    <w:rsid w:val="00D90479"/>
    <w:rsid w:val="00DA4184"/>
    <w:rsid w:val="00DD1751"/>
    <w:rsid w:val="00DF7665"/>
    <w:rsid w:val="00F35BB5"/>
    <w:rsid w:val="00F421C8"/>
    <w:rsid w:val="00F72983"/>
    <w:rsid w:val="00F94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39E0"/>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PidipaginaCarattere">
    <w:name w:val="Piè di pagina Carattere"/>
    <w:basedOn w:val="Carpredefinitoparagrafo"/>
    <w:link w:val="Pidipagina"/>
    <w:uiPriority w:val="99"/>
    <w:rsid w:val="0079697F"/>
  </w:style>
  <w:style w:type="table" w:styleId="Grigliatabella">
    <w:name w:val="Table Grid"/>
    <w:basedOn w:val="Tabellanormale"/>
    <w:uiPriority w:val="39"/>
    <w:rsid w:val="00A560ED"/>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Testonotaapidipagina">
    <w:name w:val="footnote text"/>
    <w:basedOn w:val="Normale"/>
    <w:link w:val="TestonotaapidipaginaCarattere"/>
    <w:uiPriority w:val="99"/>
    <w:unhideWhenUsed/>
    <w:rsid w:val="00A560ED"/>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A560ED"/>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A560ED"/>
    <w:rPr>
      <w:vertAlign w:val="superscript"/>
    </w:rPr>
  </w:style>
  <w:style w:type="paragraph" w:styleId="Didascalia">
    <w:name w:val="caption"/>
    <w:basedOn w:val="Normale"/>
    <w:next w:val="Normale"/>
    <w:uiPriority w:val="35"/>
    <w:unhideWhenUsed/>
    <w:qFormat/>
    <w:rsid w:val="00A560ED"/>
    <w:pPr>
      <w:keepNext/>
      <w:spacing w:before="240" w:after="0" w:line="240" w:lineRule="auto"/>
      <w:jc w:val="both"/>
    </w:pPr>
    <w:rPr>
      <w:rFonts w:ascii="Times New Roman" w:eastAsiaTheme="minorHAnsi" w:hAnsi="Times New Roman" w:cstheme="minorBidi"/>
      <w:i/>
      <w:iCs/>
      <w:sz w:val="20"/>
      <w:szCs w:val="18"/>
      <w:lang w:eastAsia="ja-JP"/>
    </w:rPr>
  </w:style>
  <w:style w:type="paragraph" w:styleId="Nessunaspaziatura">
    <w:name w:val="No Spacing"/>
    <w:basedOn w:val="Normale"/>
    <w:link w:val="NessunaspaziaturaCarattere"/>
    <w:uiPriority w:val="1"/>
    <w:qFormat/>
    <w:rsid w:val="001108E7"/>
    <w:pPr>
      <w:spacing w:after="0" w:line="240" w:lineRule="auto"/>
      <w:jc w:val="both"/>
    </w:pPr>
    <w:rPr>
      <w:rFonts w:ascii="Poppins" w:eastAsiaTheme="minorEastAsia" w:hAnsi="Poppins" w:cstheme="minorBidi"/>
      <w:sz w:val="16"/>
      <w:szCs w:val="20"/>
    </w:rPr>
  </w:style>
  <w:style w:type="character" w:customStyle="1" w:styleId="NessunaspaziaturaCarattere">
    <w:name w:val="Nessuna spaziatura Carattere"/>
    <w:basedOn w:val="Carpredefinitoparagrafo"/>
    <w:link w:val="Nessunaspaziatura"/>
    <w:uiPriority w:val="1"/>
    <w:rsid w:val="001108E7"/>
    <w:rPr>
      <w:rFonts w:ascii="Poppins" w:eastAsiaTheme="minorEastAsia" w:hAnsi="Poppins"/>
      <w:kern w:val="0"/>
      <w:sz w:val="16"/>
      <w:szCs w:val="20"/>
      <w:lang w:val="it"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1276</Words>
  <Characters>7274</Characters>
  <Application>Microsoft Office Word</Application>
  <DocSecurity>0</DocSecurity>
  <Lines>60</Lines>
  <Paragraphs>17</Paragraphs>
  <ScaleCrop>false</ScaleCrop>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32</cp:revision>
  <dcterms:created xsi:type="dcterms:W3CDTF">2025-09-29T20:31:00Z</dcterms:created>
  <dcterms:modified xsi:type="dcterms:W3CDTF">2025-10-02T13:42:00Z</dcterms:modified>
</cp:coreProperties>
</file>