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11B04" w14:textId="77777777" w:rsidR="0079697F" w:rsidRPr="0079697F" w:rsidRDefault="0079697F" w:rsidP="0079697F">
      <w:pPr>
        <w:pStyle w:val="Titolo2"/>
        <w:jc w:val="center"/>
        <w:rPr>
          <w:rFonts w:ascii="Poppins" w:hAnsi="Poppins" w:cs="Poppins"/>
          <w:sz w:val="36"/>
          <w:szCs w:val="36"/>
          <w:lang w:val="en-GB"/>
        </w:rPr>
      </w:pPr>
      <w:bookmarkStart w:id="0" w:name="_Toc187013341"/>
      <w:bookmarkStart w:id="1" w:name="_Toc188269368"/>
      <w:bookmarkStart w:id="2" w:name="_Toc188282629"/>
    </w:p>
    <w:p w14:paraId="6C05A84D" w14:textId="0D8370E4" w:rsidR="0079697F" w:rsidRPr="0079697F" w:rsidRDefault="0079697F" w:rsidP="0079697F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r w:rsidRPr="0079697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L</w:t>
      </w:r>
      <w:r w:rsidR="00E85D29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a </w:t>
      </w:r>
      <w:proofErr w:type="spellStart"/>
      <w:r w:rsidR="00E85D29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recezione</w:t>
      </w:r>
      <w:proofErr w:type="spellEnd"/>
      <w:r w:rsidRPr="0079697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della</w:t>
      </w:r>
      <w:proofErr w:type="spellEnd"/>
      <w:r w:rsidRPr="0079697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Silver Economy </w:t>
      </w:r>
      <w:proofErr w:type="spellStart"/>
      <w:r w:rsidRPr="0079697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nel</w:t>
      </w:r>
      <w:proofErr w:type="spellEnd"/>
      <w:r w:rsidRPr="0079697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modello</w:t>
      </w:r>
      <w:proofErr w:type="spellEnd"/>
      <w:r w:rsidRPr="0079697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economico</w:t>
      </w:r>
      <w:proofErr w:type="spellEnd"/>
      <w:r w:rsidRPr="0079697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e </w:t>
      </w:r>
      <w:proofErr w:type="spellStart"/>
      <w:r w:rsidRPr="0079697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sociale</w:t>
      </w:r>
      <w:proofErr w:type="spellEnd"/>
      <w:r w:rsidRPr="0079697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dell'Unione</w:t>
      </w:r>
      <w:proofErr w:type="spellEnd"/>
      <w:r w:rsidRPr="0079697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Europea</w:t>
      </w:r>
      <w:bookmarkEnd w:id="0"/>
      <w:bookmarkEnd w:id="1"/>
      <w:bookmarkEnd w:id="2"/>
    </w:p>
    <w:p w14:paraId="660BBD2E" w14:textId="77777777" w:rsidR="0079697F" w:rsidRDefault="0079697F">
      <w:pPr>
        <w:rPr>
          <w:rFonts w:ascii="Poppins" w:hAnsi="Poppins" w:cs="Poppins"/>
        </w:rPr>
      </w:pPr>
    </w:p>
    <w:p w14:paraId="77BFEB39" w14:textId="265AB37C" w:rsidR="0079697F" w:rsidRPr="008B346E" w:rsidRDefault="0079697F" w:rsidP="0079697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"silver economy"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acquisito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importanza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Europa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dal 2005,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durante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prima Conferenza Europea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organizzata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governo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tedesco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Bonn.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istituita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Silver Economy Network of European Regions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(SEN@ER),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rete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internazionale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volta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sfida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"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l'Europa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state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inquadrate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nell'ambito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in buona </w:t>
      </w:r>
      <w:r w:rsidR="00E85D29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salute.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(AHA),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promosso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livello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mondiale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Unite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Piano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internazionale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Madrid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(MIPAA)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Unite, 2002), sostenuto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dall'Organizzazione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mondiale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(OMS, 2002)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approvato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livello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europeo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europea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18AFCF8A" w14:textId="0CD62C69" w:rsidR="0079697F" w:rsidRPr="0079697F" w:rsidRDefault="0079697F" w:rsidP="0079697F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Retoricamente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passaggio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dal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"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" a "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economia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"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riflette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l'aspirazione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obiettivi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nuova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in cui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diventa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coesione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Su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base, il Consiglio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europeo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risoluzione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febbraio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2007"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sfide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cambiamento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demografico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in Europa: il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contributo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allo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economico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"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ha espresso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l'intenzione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l'inclusione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enfasi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sull'estensione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loro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valorizzazione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volontariato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sul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rafforzamento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loro </w:t>
      </w:r>
      <w:proofErr w:type="spellStart"/>
      <w:r w:rsidRPr="0079697F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cittadinanza</w:t>
      </w:r>
      <w:proofErr w:type="spellEnd"/>
      <w:r w:rsidRPr="0079697F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attiva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Ciononostante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strategia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dell'Unione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europea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per la silver economy è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stata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fortemente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influenzata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dai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meccanismi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regolamentazione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unico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e da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logica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neoliberista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intervento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(Lipp &amp; Peine, 2022).</w:t>
      </w:r>
    </w:p>
    <w:p w14:paraId="2BB98EEA" w14:textId="14D30C1C" w:rsidR="0079697F" w:rsidRPr="008B346E" w:rsidRDefault="0079697F" w:rsidP="0079697F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L'idea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trasformare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l'invecchiamento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demografico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un'opportunità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traduce, in termini di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pubbliche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nell'incentivare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investimenti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innovazione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tecnologica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volti a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invecchiamento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e in buona salute.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approccio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mira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simultaneamente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la "buona salute e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l'indipendenza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"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anziani –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liberando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così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il loro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potenziale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consumo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– e a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stimolare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direttamente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settore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ICT,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idealmente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generando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ricadute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positive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su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altri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ambiti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economici e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Europea, 2015, 2018, 2020, 2021b, 2023). Dal 2012,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Nazioni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Unite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Europea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adottato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uno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strumento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statistico</w:t>
      </w:r>
      <w:proofErr w:type="spellEnd"/>
      <w:r w:rsidRPr="0079697F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79697F">
        <w:rPr>
          <w:rFonts w:ascii="Poppins" w:hAnsi="Poppins" w:cs="Poppins"/>
          <w:sz w:val="20"/>
          <w:szCs w:val="20"/>
          <w:lang w:val="en-GB"/>
        </w:rPr>
        <w:t>l'</w:t>
      </w:r>
      <w:r w:rsidRPr="0079697F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ndice</w:t>
      </w:r>
      <w:proofErr w:type="spellEnd"/>
      <w:r w:rsidRPr="0079697F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79697F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valutare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monitorare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grado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raggiungimento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aspirazioni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paesi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firmatari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MIPAA (Centro Europeo Vienna et al., 2013).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dimensioni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analisi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civiche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indipendenti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sane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sicure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contestuali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651C5F66" w14:textId="77777777" w:rsidR="00F73EC7" w:rsidRDefault="0079697F" w:rsidP="0079697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Nei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strategici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europea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tuttavia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operativa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rimane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fortemente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incentrata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allineandosi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così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maggiormente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ristretto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In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Europe's Demographic Future: Facts and Figures on Challenges and Opportunities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(2007),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evitando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chiara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"silver economy",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descrive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abbraccia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molteplici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economici.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orientamento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concettuale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ampiamente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riflesso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successiva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(Eitner et al., 2011; Heffner et al., 2019; </w:t>
      </w:r>
      <w:proofErr w:type="spellStart"/>
      <w:r w:rsidR="004229E4" w:rsidRPr="008B346E">
        <w:rPr>
          <w:rFonts w:ascii="Poppins" w:hAnsi="Poppins" w:cs="Poppins"/>
          <w:sz w:val="20"/>
          <w:szCs w:val="20"/>
          <w:lang w:val="en-GB"/>
        </w:rPr>
        <w:t>Iwański</w:t>
      </w:r>
      <w:proofErr w:type="spellEnd"/>
      <w:r w:rsidR="004229E4" w:rsidRPr="008B346E">
        <w:rPr>
          <w:rFonts w:ascii="Poppins" w:hAnsi="Poppins" w:cs="Poppins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2024;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2021; </w:t>
      </w:r>
      <w:proofErr w:type="spellStart"/>
      <w:r w:rsidR="004229E4" w:rsidRPr="008B346E">
        <w:rPr>
          <w:rFonts w:ascii="Poppins" w:hAnsi="Poppins" w:cs="Poppins"/>
          <w:sz w:val="20"/>
          <w:szCs w:val="20"/>
          <w:lang w:val="en-GB"/>
        </w:rPr>
        <w:t>Laperche</w:t>
      </w:r>
      <w:proofErr w:type="spellEnd"/>
      <w:r w:rsidR="004229E4" w:rsidRPr="008B346E">
        <w:rPr>
          <w:rFonts w:ascii="Poppins" w:hAnsi="Poppins" w:cs="Poppins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2021;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Laperche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2019;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Podgórniak-Krzykacz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2024). 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documento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 stretto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legame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</w:p>
    <w:p w14:paraId="58197125" w14:textId="77777777" w:rsidR="00F73EC7" w:rsidRDefault="00F73EC7" w:rsidP="0079697F">
      <w:pPr>
        <w:jc w:val="both"/>
        <w:rPr>
          <w:rFonts w:ascii="Poppins" w:hAnsi="Poppins" w:cs="Poppins"/>
          <w:sz w:val="20"/>
          <w:szCs w:val="20"/>
          <w:lang w:val="en-GB"/>
        </w:rPr>
      </w:pPr>
    </w:p>
    <w:p w14:paraId="08AC802D" w14:textId="0C84A778" w:rsidR="0079697F" w:rsidRPr="008B346E" w:rsidRDefault="0079697F" w:rsidP="0079697F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emergente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nuove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digitali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informatiche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abbiano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dimostrato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garantire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livelli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patologie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croniche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superando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barriere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precedentemente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insormontabili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2007, p. 97).</w:t>
      </w:r>
    </w:p>
    <w:p w14:paraId="5CBDF7AB" w14:textId="03C9D7F3" w:rsidR="0079697F" w:rsidRPr="008B346E" w:rsidRDefault="0079697F" w:rsidP="0079697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Una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esplicita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dell’economia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d’argento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“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documento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riferimento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” del 2015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Growing the European Silver Economy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afferma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:</w:t>
      </w:r>
    </w:p>
    <w:p w14:paraId="7ED3333C" w14:textId="77777777" w:rsidR="0079697F" w:rsidRPr="008B346E" w:rsidRDefault="0079697F" w:rsidP="0079697F">
      <w:pPr>
        <w:pStyle w:val="Citazione"/>
        <w:rPr>
          <w:rFonts w:ascii="Poppins" w:hAnsi="Poppins" w:cs="Poppins"/>
          <w:szCs w:val="20"/>
          <w:lang w:val="en-GB"/>
        </w:rPr>
      </w:pPr>
      <w:r w:rsidRPr="008B346E">
        <w:rPr>
          <w:rFonts w:ascii="Poppins" w:hAnsi="Poppins" w:cs="Poppins"/>
          <w:szCs w:val="20"/>
          <w:lang w:val="en-GB"/>
        </w:rPr>
        <w:t xml:space="preserve">[l]a “Silver Economy” </w:t>
      </w:r>
      <w:proofErr w:type="spellStart"/>
      <w:r w:rsidRPr="008B346E">
        <w:rPr>
          <w:rFonts w:ascii="Poppins" w:hAnsi="Poppins" w:cs="Poppins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definita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Cs w:val="20"/>
          <w:lang w:val="en-GB"/>
        </w:rPr>
        <w:t>l’insieme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economiche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derivanti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spesa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pubblica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consumatori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legate </w:t>
      </w:r>
      <w:proofErr w:type="spellStart"/>
      <w:r w:rsidRPr="008B346E">
        <w:rPr>
          <w:rFonts w:ascii="Poppins" w:hAnsi="Poppins" w:cs="Poppins"/>
          <w:szCs w:val="20"/>
          <w:lang w:val="en-GB"/>
        </w:rPr>
        <w:t>all’invecchiamento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e alle </w:t>
      </w:r>
      <w:proofErr w:type="spellStart"/>
      <w:r w:rsidRPr="008B346E">
        <w:rPr>
          <w:rFonts w:ascii="Poppins" w:hAnsi="Poppins" w:cs="Poppins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specifiche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over 50. (</w:t>
      </w:r>
      <w:proofErr w:type="spellStart"/>
      <w:r w:rsidRPr="008B346E">
        <w:rPr>
          <w:rFonts w:ascii="Poppins" w:hAnsi="Poppins" w:cs="Poppins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Europea, 2015, p. 4)</w:t>
      </w:r>
    </w:p>
    <w:p w14:paraId="07617604" w14:textId="77777777" w:rsidR="0079697F" w:rsidRPr="008B346E" w:rsidRDefault="0079697F" w:rsidP="0079697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adottata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due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principali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La prima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l'Organizzazione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Cooperazione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(OCSE), 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seconda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consulenza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Technopolis Group e di Oxford Economics.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Quest'ultima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collaborare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conducendo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uno studio simile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Stati Uniti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dell'American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Association of Retired Persons (Oxford Economics, 2013, 2016).</w:t>
      </w:r>
    </w:p>
    <w:p w14:paraId="40F93C9D" w14:textId="5613A20F" w:rsidR="0079697F" w:rsidRPr="008B346E" w:rsidRDefault="0079697F" w:rsidP="0079697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Nel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dell'OCSE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Fostering Resilient Economies: Demographic Transition in Local Labour Markets</w:t>
      </w:r>
      <w:proofErr w:type="gram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" </w:t>
      </w:r>
      <w:r w:rsidRPr="008B346E">
        <w:rPr>
          <w:rFonts w:ascii="Poppins" w:hAnsi="Poppins" w:cs="Poppins"/>
          <w:sz w:val="20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anch'esso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2015, la silver economy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l'ecosistema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anziani" (OCSE, 2015, p. 131) ed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equiparata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domanda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anziani" (OCSE, 2015, p. 63).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l'OCSE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colloca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silver economy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spazio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semantico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White economy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comprende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prodotti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legati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sanitaria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cura di anziani,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disabili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altrimenti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autosufficienti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(OCSE, 2015, p. 166). Questa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interpretazione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solo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confina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silver economy al volume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restringe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ulteriormente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quest'ultimo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Tuttavia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documento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silver economy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fenomeno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include –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analogamente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studi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The Silver Dollar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Oxford Economics – tutte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rispondono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cura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la forza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quelle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rivolte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a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impiegati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(OCSE, 2015, p. 101).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documento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espande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ulteriormente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invitando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(OCSE, 2015, p. 104).</w:t>
      </w:r>
    </w:p>
    <w:p w14:paraId="34971F9D" w14:textId="77777777" w:rsidR="0079697F" w:rsidRPr="008B346E" w:rsidRDefault="0079697F" w:rsidP="0079697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Dal punto di vista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operativo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l'OCSE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valutano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portata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principalmente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stime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attuali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proiezioni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future del volume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d'affari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economici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coinvolti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Tra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turismo,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ospitalità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smart housing,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assistive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finanziari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affida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stime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consulenza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Technopolis Group e Oxford Economics,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successivi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redigono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rapporti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(2018).</w:t>
      </w:r>
    </w:p>
    <w:p w14:paraId="2C152AEE" w14:textId="77777777" w:rsidR="00F73EC7" w:rsidRDefault="0079697F" w:rsidP="0079697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interessante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suoi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studi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condotti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l'AARP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Stati Uniti, Oxford Economics (2013, 2016) – come Bank of America Merrill Lynch (Nahal &amp; Ma Beijia, 2014) –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utilizza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economia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d'argent</w:t>
      </w:r>
      <w:r w:rsidR="000663E5">
        <w:rPr>
          <w:rFonts w:ascii="Poppins" w:hAnsi="Poppins" w:cs="Poppins"/>
          <w:sz w:val="20"/>
          <w:szCs w:val="20"/>
          <w:lang w:val="en-GB"/>
        </w:rPr>
        <w:t>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".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l'immagine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evocata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segni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bisogni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immediati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legati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declino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fisico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etico-politica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in cui tutti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aspirare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 xml:space="preserve">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lunga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sana.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alcuni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culturali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come il Brasile,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"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comunemente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interpretato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senso di "marketing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"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domanda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</w:p>
    <w:p w14:paraId="3F134A9F" w14:textId="77777777" w:rsidR="00F73EC7" w:rsidRDefault="00F73EC7" w:rsidP="0079697F">
      <w:pPr>
        <w:jc w:val="both"/>
        <w:rPr>
          <w:rFonts w:ascii="Poppins" w:hAnsi="Poppins" w:cs="Poppins"/>
          <w:sz w:val="20"/>
          <w:szCs w:val="20"/>
          <w:lang w:val="en-GB"/>
        </w:rPr>
      </w:pPr>
    </w:p>
    <w:p w14:paraId="24A495F1" w14:textId="431CB332" w:rsidR="0079697F" w:rsidRPr="008B346E" w:rsidRDefault="0079697F" w:rsidP="0079697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"Economia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Longevidade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identifica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disciplina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accademica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emergente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riflette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intersezioni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strategie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senso, Felix (2016)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osserva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silver economy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lente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studi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marketing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trascurare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ruolo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Stato,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riducendolo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funzioni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regolamentazione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incentivi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ricerca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studi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scienze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adottano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approccio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allineato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prestando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maggiore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attenzione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dimensioni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strutturali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5918F21A" w14:textId="77777777" w:rsidR="0079697F" w:rsidRPr="008B346E" w:rsidRDefault="0079697F" w:rsidP="0079697F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delineano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dicotomia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idealizzata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due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tuttavia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distinzione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costantemente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sostenuta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dove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termini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usati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sinonimi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2D0CA816" w14:textId="77777777" w:rsidR="0079697F" w:rsidRPr="008B346E" w:rsidRDefault="0079697F" w:rsidP="0079697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Il primo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tipo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ideale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incentrato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sul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stimolazione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costituisce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meccanismo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primario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dell'approccio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mainstream. Questa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mette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primo piano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associate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allineandosi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così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ristretto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.</w:t>
      </w:r>
      <w:proofErr w:type="gramEnd"/>
    </w:p>
    <w:p w14:paraId="59992942" w14:textId="77777777" w:rsidR="0079697F" w:rsidRPr="008B346E" w:rsidRDefault="0079697F" w:rsidP="0079697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Il secondo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tipo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ideale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adotta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riconoscendo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ruolo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trascende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transazioni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economia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"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riassume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efficacemente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cui l'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economia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viene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riconcettualizzata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come mezzo per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individuale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indipendentemente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fase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vita in cui 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processo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viene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osservato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vissuto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.</w:t>
      </w:r>
      <w:proofErr w:type="gramEnd"/>
    </w:p>
    <w:p w14:paraId="28A4876C" w14:textId="77777777" w:rsidR="0079697F" w:rsidRDefault="0079697F" w:rsidP="0079697F">
      <w:pPr>
        <w:rPr>
          <w:rFonts w:ascii="Poppins" w:hAnsi="Poppins" w:cs="Poppins"/>
          <w:sz w:val="20"/>
          <w:szCs w:val="20"/>
        </w:rPr>
      </w:pPr>
    </w:p>
    <w:p w14:paraId="74E3468E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58CD122E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6E1F6BC3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382F763A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57591360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03705AB8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3C856D75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4E812C72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3BD388BA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1D3B1497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367EB929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1DBB744E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5C4C740F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2448424C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1B7C35F9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400EF87A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739ABBD5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2AD9B831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1693F7E8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4715D419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00076011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49DF64E9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1D7A4B53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24236673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079149DA" w14:textId="77777777" w:rsidR="00E85D29" w:rsidRDefault="00E85D29" w:rsidP="0079697F">
      <w:pPr>
        <w:rPr>
          <w:rFonts w:ascii="Poppins" w:hAnsi="Poppins" w:cs="Poppins"/>
          <w:sz w:val="20"/>
          <w:szCs w:val="20"/>
        </w:rPr>
      </w:pPr>
    </w:p>
    <w:p w14:paraId="62F73EDC" w14:textId="39A98C4A" w:rsidR="00E85D29" w:rsidRDefault="00E85D29" w:rsidP="0079697F">
      <w:pPr>
        <w:rPr>
          <w:rFonts w:ascii="Poppins" w:hAnsi="Poppins" w:cs="Poppins"/>
          <w:b/>
          <w:bCs/>
          <w:sz w:val="22"/>
          <w:szCs w:val="22"/>
        </w:rPr>
      </w:pPr>
      <w:r w:rsidRPr="00380B37">
        <w:rPr>
          <w:rFonts w:ascii="Poppins" w:hAnsi="Poppins" w:cs="Poppins"/>
          <w:b/>
          <w:bCs/>
          <w:sz w:val="22"/>
          <w:szCs w:val="22"/>
        </w:rPr>
        <w:t xml:space="preserve">Bibliografia </w:t>
      </w:r>
    </w:p>
    <w:p w14:paraId="5FAC352F" w14:textId="77777777" w:rsidR="00CC3A5C" w:rsidRPr="00380B37" w:rsidRDefault="00CC3A5C" w:rsidP="0079697F">
      <w:pPr>
        <w:rPr>
          <w:rFonts w:ascii="Poppins" w:hAnsi="Poppins" w:cs="Poppins"/>
          <w:b/>
          <w:bCs/>
          <w:sz w:val="22"/>
          <w:szCs w:val="22"/>
        </w:rPr>
      </w:pPr>
    </w:p>
    <w:p w14:paraId="6C812589" w14:textId="77777777" w:rsidR="00CC3A5C" w:rsidRDefault="00CC3A5C" w:rsidP="008E1813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Eitner, C.,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Enste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P., Naegele, G., &amp; Leve, V. (2011). The Discovery and Development of the Silver Market in Germany.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Silver Market Phenomenon (Second Edition): Marketing and Innovation in the Aging Society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309–324. </w:t>
      </w:r>
      <w:hyperlink r:id="rId8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https://doi.org/10.1007/978-3-642-14338-0_23</w:t>
        </w:r>
      </w:hyperlink>
      <w:r>
        <w:rPr>
          <w:rFonts w:ascii="Poppins" w:hAnsi="Poppins" w:cs="Poppins"/>
          <w:sz w:val="20"/>
          <w:szCs w:val="20"/>
          <w:lang w:val="en-GB"/>
        </w:rPr>
        <w:t xml:space="preserve">. </w:t>
      </w:r>
    </w:p>
    <w:p w14:paraId="6D0002E0" w14:textId="77777777" w:rsidR="00CC3A5C" w:rsidRDefault="00CC3A5C" w:rsidP="008E1813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3189F454" w14:textId="33E92251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European Commission: Directorate-General for Communications Networks, Content and Technology, Worthington, H., Simmonds, P., Farla, K. and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Varnai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P. (2018).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silver economy – Final report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Publications Office. </w:t>
      </w:r>
      <w:hyperlink r:id="rId9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https://data.europa.eu/doi/10.2759/685036</w:t>
        </w:r>
      </w:hyperlink>
    </w:p>
    <w:p w14:paraId="59B69970" w14:textId="77777777" w:rsidR="00CC3A5C" w:rsidRPr="008B346E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146F023A" w14:textId="77777777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European Commission: Directorate-General for Employment. (2007).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Europe’s demographic future: facts and figures on challenges and opportunities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. Publications Office of the European Union. </w:t>
      </w:r>
      <w:hyperlink r:id="rId10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https://doi.org/10.2767/15724</w:t>
        </w:r>
      </w:hyperlink>
    </w:p>
    <w:p w14:paraId="646C6C8F" w14:textId="77777777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01B51808" w14:textId="2E4398A2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European Commission. (2015).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Growing the European Silver Economy (Background Paper).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European Union. </w:t>
      </w:r>
      <w:hyperlink r:id="rId11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https://ec.europa.eu/newsroom/dae/document.cfm?doc_id=9115</w:t>
        </w:r>
      </w:hyperlink>
    </w:p>
    <w:p w14:paraId="06A986B0" w14:textId="77777777" w:rsidR="00CC3A5C" w:rsidRPr="008B346E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1B679DC9" w14:textId="3FF9EA57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European Commission. (2015).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Growing the European Silver Economy (Background Paper).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European Union. </w:t>
      </w:r>
      <w:hyperlink r:id="rId12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https://ec.europa.eu/newsroom/dae/document.cfm?doc_id=9115</w:t>
        </w:r>
      </w:hyperlink>
    </w:p>
    <w:p w14:paraId="5CBB84D0" w14:textId="77777777" w:rsidR="00CC3A5C" w:rsidRPr="008B346E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711CE84F" w14:textId="331EE960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European Commission. (2020).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Report on the Impact of Demographic Change in Europe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(COM/2020/241 final). European Union. </w:t>
      </w:r>
      <w:hyperlink r:id="rId13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https://eur-lex.europa.eu/legal-content/EN/TXT/?uri=CELEX:52020DC0241</w:t>
        </w:r>
      </w:hyperlink>
    </w:p>
    <w:p w14:paraId="0DADD8F7" w14:textId="77777777" w:rsidR="00CC3A5C" w:rsidRPr="008B346E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7D0909B2" w14:textId="7B81FCD3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European Commission. (2021).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Green Paper on Ageing: Fostering solidarity and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responsability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between generations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(COM/2021/50 final). European Union. </w:t>
      </w:r>
      <w:hyperlink r:id="rId14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https://eur-lex.europa.eu/legal-content/EN/TXT/?uri=CELEX:52021DC0050</w:t>
        </w:r>
      </w:hyperlink>
    </w:p>
    <w:p w14:paraId="5AF79959" w14:textId="77777777" w:rsidR="00CC3A5C" w:rsidRPr="008B346E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5EC5DA30" w14:textId="4E247FCE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European Commission. (2023).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The impact of demographic change - in a changing environment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(SWD/2023/21 final). European Union. </w:t>
      </w:r>
      <w:hyperlink r:id="rId15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https://commission.europa.eu/document/download/c00f88d7-1fdf-40bd-b177-84253fa5bc2b_en?filename=the_impact_of_demographic_change_in_a_changing_environment_2023.PDF</w:t>
        </w:r>
      </w:hyperlink>
    </w:p>
    <w:p w14:paraId="3A6743CF" w14:textId="77777777" w:rsidR="00CC3A5C" w:rsidRPr="008B346E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67504C43" w14:textId="27B42C0F" w:rsidR="00CC3A5C" w:rsidRDefault="00CC3A5C" w:rsidP="000663E5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Felix, J. (2016). Silver economy: opportunities and challenges to Brazil adopt the European Union’s strategy.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Innovation: The European Journal of Social Science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29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(2), 115–133. </w:t>
      </w:r>
      <w:hyperlink r:id="rId16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https://doi.org/10.1080/13511610.2016.1166937</w:t>
        </w:r>
      </w:hyperlink>
    </w:p>
    <w:p w14:paraId="4FDA4C00" w14:textId="77777777" w:rsidR="00CC3A5C" w:rsidRPr="008B346E" w:rsidRDefault="00CC3A5C" w:rsidP="000663E5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0E8A849A" w14:textId="77777777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Heffner, K., Klemens, B., &amp; Solga, B. (2019). Challenges of regional development in the context of population ageing. Analysis based on the example of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opolskie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voivodeship.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Sustainability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11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(5207). </w:t>
      </w:r>
      <w:hyperlink r:id="rId17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https://doi.org/10.3390/su11195207</w:t>
        </w:r>
      </w:hyperlink>
    </w:p>
    <w:p w14:paraId="08B61626" w14:textId="77777777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730DCEC0" w14:textId="6A1347CF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 xml:space="preserve">Iwański, R. (2024). Growth prospects for the silver economy in the market segment of residential care services provided to dependent elderly people.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Economics and Business Review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10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hyperlink r:id="rId18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https://doi.org/10.18559/ebr.2024.2.1255</w:t>
        </w:r>
      </w:hyperlink>
    </w:p>
    <w:p w14:paraId="59C600AA" w14:textId="77777777" w:rsidR="00CC3A5C" w:rsidRPr="008B346E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73C18E8A" w14:textId="77777777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G. (2021). The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olderpreneur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Future market challenges.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Bulletin of Geography. Socio-Economic Series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51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(51), 75–83. </w:t>
      </w:r>
      <w:hyperlink r:id="rId19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https://doi.org/10.2478/bog-2021-0006</w:t>
        </w:r>
      </w:hyperlink>
    </w:p>
    <w:p w14:paraId="16C719EF" w14:textId="77777777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63862876" w14:textId="6E981FBB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Laperche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B. (2021).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Gerontech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-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Geront’innovations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and the Silver Economy. In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Innovation Economics, Engineering and Management Handbook 2: Special Themes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(pp. 145–152). Wiley Blackwell. </w:t>
      </w:r>
      <w:hyperlink r:id="rId20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https://doi.org/10.1002/9781119832522.ch16</w:t>
        </w:r>
      </w:hyperlink>
    </w:p>
    <w:p w14:paraId="3593B698" w14:textId="77777777" w:rsidR="00CC3A5C" w:rsidRPr="008B346E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2CCB191A" w14:textId="3338FF6C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Laperche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B., Boutillier, S., Djellal, F., Ingham, M., Liu, Z., Picard, F.,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Reboud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S., Tanguy, C.,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Uzunidis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D. (2019). Innovating for elderly people: the development of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geront’innovations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the French silver economy.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Technology Analysis and Strategic Management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31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(4), 462–476. </w:t>
      </w:r>
      <w:hyperlink r:id="rId21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https://doi.org/10.1080/09537325.2018.1520975</w:t>
        </w:r>
      </w:hyperlink>
    </w:p>
    <w:p w14:paraId="269645FF" w14:textId="77777777" w:rsidR="00CC3A5C" w:rsidRPr="008B346E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068EB2F2" w14:textId="77777777" w:rsidR="00CC3A5C" w:rsidRDefault="00CC3A5C" w:rsidP="00380B3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Lodi Rizzini, C., Maino, F., &amp; De Tommaso, C. V. (2024). Ageing in Place, Healthy Ageing: Local Community Involvement in the Prevention Approach to Eldercare.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Social Inclusion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12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hyperlink r:id="rId22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https://doi.org/10.17645/si.7438</w:t>
        </w:r>
      </w:hyperlink>
      <w:r>
        <w:rPr>
          <w:rFonts w:ascii="Poppins" w:hAnsi="Poppins" w:cs="Poppins"/>
          <w:sz w:val="20"/>
          <w:szCs w:val="20"/>
          <w:lang w:val="en-GB"/>
        </w:rPr>
        <w:t xml:space="preserve">. </w:t>
      </w:r>
    </w:p>
    <w:p w14:paraId="21E73822" w14:textId="77777777" w:rsidR="00CC3A5C" w:rsidRDefault="00CC3A5C" w:rsidP="00380B3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2B739FBE" w14:textId="705DC806" w:rsidR="00CC3A5C" w:rsidRDefault="00CC3A5C" w:rsidP="000663E5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OECD. (2015).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Fostering resilient economies: demographic transition in local labour markets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(OECD Local Economic and Employment Development Papers). Organisation for Economic Co-operation and Development. </w:t>
      </w:r>
      <w:hyperlink r:id="rId23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https://doi.org/10.1787/20794797</w:t>
        </w:r>
      </w:hyperlink>
    </w:p>
    <w:p w14:paraId="3051FD10" w14:textId="77777777" w:rsidR="00CC3A5C" w:rsidRPr="008B346E" w:rsidRDefault="00CC3A5C" w:rsidP="000663E5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0DC40DD9" w14:textId="77777777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Oxford Economics. (2013).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Longevity Economy. Generating economic growth and new opportunities for business</w:t>
      </w:r>
      <w:r w:rsidRPr="008B346E">
        <w:rPr>
          <w:rFonts w:ascii="Poppins" w:hAnsi="Poppins" w:cs="Poppins"/>
          <w:sz w:val="20"/>
          <w:szCs w:val="20"/>
          <w:lang w:val="en-GB"/>
        </w:rPr>
        <w:t>. AARP.</w:t>
      </w:r>
    </w:p>
    <w:p w14:paraId="3A1801E7" w14:textId="77777777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3553FECC" w14:textId="7A6FE1AC" w:rsidR="00CC3A5C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Oxford Economics. (2016).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Longevity Economy. How People Over 50 Are Driving Economic and Social Value in the US</w:t>
      </w:r>
      <w:r w:rsidRPr="008B346E">
        <w:rPr>
          <w:rFonts w:ascii="Poppins" w:hAnsi="Poppins" w:cs="Poppins"/>
          <w:sz w:val="20"/>
          <w:szCs w:val="20"/>
          <w:lang w:val="en-GB"/>
        </w:rPr>
        <w:t>. AARP.</w:t>
      </w:r>
      <w:r>
        <w:rPr>
          <w:rFonts w:ascii="Poppins" w:hAnsi="Poppins" w:cs="Poppins"/>
          <w:sz w:val="20"/>
          <w:szCs w:val="20"/>
          <w:lang w:val="en-GB"/>
        </w:rPr>
        <w:t xml:space="preserve"> </w:t>
      </w:r>
    </w:p>
    <w:p w14:paraId="1B9F488A" w14:textId="77777777" w:rsidR="00CC3A5C" w:rsidRPr="008B346E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72629E17" w14:textId="75FFD6E4" w:rsidR="00CC3A5C" w:rsidRPr="008B346E" w:rsidRDefault="00CC3A5C" w:rsidP="004229E4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Podgórniak-Krzykacz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Przywojska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J., &amp; Warwas, I. (2024). Silver economy as a response to demographic challenges in polish regions: realistic strategy or Utopia?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Innovation: The European Journal of Social Science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37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(2), 170–197. </w:t>
      </w:r>
      <w:hyperlink r:id="rId24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https://doi.org/10.1080/13511610.2020.1736011</w:t>
        </w:r>
      </w:hyperlink>
      <w:r>
        <w:rPr>
          <w:rFonts w:ascii="Poppins" w:hAnsi="Poppins" w:cs="Poppins"/>
          <w:sz w:val="20"/>
          <w:szCs w:val="20"/>
          <w:lang w:val="en-GB"/>
        </w:rPr>
        <w:t xml:space="preserve"> </w:t>
      </w:r>
    </w:p>
    <w:sectPr w:rsidR="00CC3A5C" w:rsidRPr="008B346E">
      <w:headerReference w:type="default" r:id="rId2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45411" w14:textId="77777777" w:rsidR="00F7154B" w:rsidRDefault="00F7154B" w:rsidP="0079697F">
      <w:r>
        <w:separator/>
      </w:r>
    </w:p>
  </w:endnote>
  <w:endnote w:type="continuationSeparator" w:id="0">
    <w:p w14:paraId="39FE65D4" w14:textId="77777777" w:rsidR="00F7154B" w:rsidRDefault="00F7154B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ABB0B" w14:textId="77777777" w:rsidR="00F7154B" w:rsidRDefault="00F7154B" w:rsidP="0079697F">
      <w:r>
        <w:separator/>
      </w:r>
    </w:p>
  </w:footnote>
  <w:footnote w:type="continuationSeparator" w:id="0">
    <w:p w14:paraId="4F206D88" w14:textId="77777777" w:rsidR="00F7154B" w:rsidRDefault="00F7154B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663E5"/>
    <w:rsid w:val="001F2272"/>
    <w:rsid w:val="002F6176"/>
    <w:rsid w:val="00380B37"/>
    <w:rsid w:val="004229E4"/>
    <w:rsid w:val="004C207B"/>
    <w:rsid w:val="00775CAA"/>
    <w:rsid w:val="0079697F"/>
    <w:rsid w:val="00806D9D"/>
    <w:rsid w:val="00854359"/>
    <w:rsid w:val="008D1363"/>
    <w:rsid w:val="008E1813"/>
    <w:rsid w:val="009770E2"/>
    <w:rsid w:val="00A0407F"/>
    <w:rsid w:val="00A42980"/>
    <w:rsid w:val="00B72DDC"/>
    <w:rsid w:val="00C72F59"/>
    <w:rsid w:val="00CC3A5C"/>
    <w:rsid w:val="00CF3DA8"/>
    <w:rsid w:val="00DA4184"/>
    <w:rsid w:val="00E85D29"/>
    <w:rsid w:val="00F35BB5"/>
    <w:rsid w:val="00F7154B"/>
    <w:rsid w:val="00F72983"/>
    <w:rsid w:val="00F7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character" w:styleId="Collegamentoipertestuale">
    <w:name w:val="Hyperlink"/>
    <w:basedOn w:val="Carpredefinitoparagrafo"/>
    <w:uiPriority w:val="99"/>
    <w:unhideWhenUsed/>
    <w:rsid w:val="008E181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18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978-3-642-14338-0_23" TargetMode="External"/><Relationship Id="rId13" Type="http://schemas.openxmlformats.org/officeDocument/2006/relationships/hyperlink" Target="https://eur-lex.europa.eu/legal-content/EN/TXT/?uri=CELEX:52020DC0241" TargetMode="External"/><Relationship Id="rId18" Type="http://schemas.openxmlformats.org/officeDocument/2006/relationships/hyperlink" Target="https://doi.org/10.18559/ebr.2024.2.1255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doi.org/10.1080/09537325.2018.152097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c.europa.eu/newsroom/dae/document.cfm?doc_id=9115" TargetMode="External"/><Relationship Id="rId17" Type="http://schemas.openxmlformats.org/officeDocument/2006/relationships/hyperlink" Target="https://doi.org/10.3390/su11195207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oi.org/10.1080/13511610.2016.1166937" TargetMode="External"/><Relationship Id="rId20" Type="http://schemas.openxmlformats.org/officeDocument/2006/relationships/hyperlink" Target="https://doi.org/10.1002/9781119832522.ch1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newsroom/dae/document.cfm?doc_id=9115" TargetMode="External"/><Relationship Id="rId24" Type="http://schemas.openxmlformats.org/officeDocument/2006/relationships/hyperlink" Target="https://doi.org/10.1080/13511610.2020.173601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ommission.europa.eu/document/download/c00f88d7-1fdf-40bd-b177-84253fa5bc2b_en?filename=the_impact_of_demographic_change_in_a_changing_environment_2023.PDF" TargetMode="External"/><Relationship Id="rId23" Type="http://schemas.openxmlformats.org/officeDocument/2006/relationships/hyperlink" Target="https://doi.org/10.1787/20794797" TargetMode="External"/><Relationship Id="rId10" Type="http://schemas.openxmlformats.org/officeDocument/2006/relationships/hyperlink" Target="https://doi.org/10.2767/15724" TargetMode="External"/><Relationship Id="rId19" Type="http://schemas.openxmlformats.org/officeDocument/2006/relationships/hyperlink" Target="https://doi.org/10.2478/bog-2021-000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ata.europa.eu/doi/10.2759/685036" TargetMode="External"/><Relationship Id="rId14" Type="http://schemas.openxmlformats.org/officeDocument/2006/relationships/hyperlink" Target="https://eur-lex.europa.eu/legal-content/EN/TXT/?uri=CELEX:52021DC0050" TargetMode="External"/><Relationship Id="rId22" Type="http://schemas.openxmlformats.org/officeDocument/2006/relationships/hyperlink" Target="https://doi.org/10.17645/si.7438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4A72EB1-E3AA-134B-ADD6-8AD7A38C1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2204</Words>
  <Characters>12569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21</cp:revision>
  <dcterms:created xsi:type="dcterms:W3CDTF">2025-09-29T20:31:00Z</dcterms:created>
  <dcterms:modified xsi:type="dcterms:W3CDTF">2025-09-30T10:23:00Z</dcterms:modified>
</cp:coreProperties>
</file>