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1D85" w14:textId="77777777" w:rsidR="00023DFC" w:rsidRPr="00186E0A" w:rsidRDefault="00023DFC" w:rsidP="00186E0A">
      <w:pPr>
        <w:pStyle w:val="Titolo2"/>
        <w:ind w:left="360"/>
        <w:jc w:val="center"/>
        <w:rPr>
          <w:rFonts w:ascii="Poppins" w:hAnsi="Poppins" w:cs="Poppins"/>
          <w:color w:val="124F1A" w:themeColor="accent3" w:themeShade="BF"/>
          <w:sz w:val="36"/>
          <w:szCs w:val="36"/>
          <w:lang w:val="en-GB"/>
        </w:rPr>
      </w:pPr>
      <w:bookmarkStart w:id="0" w:name="_Toc199964135"/>
      <w:bookmarkStart w:id="1" w:name="_Toc187013342"/>
      <w:bookmarkStart w:id="2" w:name="_Toc188269369"/>
      <w:bookmarkStart w:id="3" w:name="_Toc188282630"/>
    </w:p>
    <w:bookmarkEnd w:id="0"/>
    <w:bookmarkEnd w:id="1"/>
    <w:bookmarkEnd w:id="2"/>
    <w:bookmarkEnd w:id="3"/>
    <w:p w14:paraId="0662D507" w14:textId="2393A696" w:rsidR="009C70C8" w:rsidRPr="009C70C8" w:rsidRDefault="009C70C8" w:rsidP="003C75A6">
      <w:pPr>
        <w:jc w:val="center"/>
        <w:rPr>
          <w:rFonts w:ascii="Poppins" w:hAnsi="Poppins" w:cs="Poppins"/>
          <w:color w:val="124F1A" w:themeColor="accent3" w:themeShade="BF"/>
          <w:sz w:val="36"/>
          <w:szCs w:val="36"/>
          <w:lang w:val="en-GB"/>
        </w:rPr>
      </w:pPr>
      <w:r w:rsidRPr="009C70C8">
        <w:rPr>
          <w:rFonts w:ascii="Poppins" w:hAnsi="Poppins" w:cs="Poppins"/>
          <w:color w:val="124F1A" w:themeColor="accent3" w:themeShade="BF"/>
          <w:sz w:val="36"/>
          <w:szCs w:val="36"/>
          <w:lang w:val="en-GB"/>
        </w:rPr>
        <w:t>La prospettiva Ordoliberale</w:t>
      </w:r>
    </w:p>
    <w:p w14:paraId="0B524529" w14:textId="27E25272" w:rsidR="009C70C8" w:rsidRPr="009C70C8" w:rsidRDefault="009C70C8" w:rsidP="009C70C8">
      <w:pPr>
        <w:jc w:val="both"/>
        <w:rPr>
          <w:rFonts w:ascii="Poppins" w:hAnsi="Poppins" w:cs="Poppins"/>
          <w:lang w:val="en-GB"/>
        </w:rPr>
      </w:pPr>
      <w:r w:rsidRPr="009C70C8">
        <w:rPr>
          <w:rFonts w:ascii="Poppins" w:hAnsi="Poppins" w:cs="Poppins"/>
          <w:lang w:val="en-GB"/>
        </w:rPr>
        <w:t>La prospettiva ordoliberista riconosce tra i principali meriti della legislazione vigente il suo ruolo nel favorire l'emergere e la crescita di un mercato dedicato. Ad essa si riconosce il merito di aver contribuito in modo significativo alla formalizzazione e alla strutturazione dell'erogazione dei servizi da parte degli enti di welfare, in un settore che, prima del 2016, rimaneva ampiamente sottosviluppato nel mercato italiano.</w:t>
      </w:r>
    </w:p>
    <w:p w14:paraId="6E33F236" w14:textId="77777777" w:rsidR="009C70C8" w:rsidRPr="009C70C8" w:rsidRDefault="009C70C8" w:rsidP="009C70C8">
      <w:pPr>
        <w:jc w:val="both"/>
        <w:rPr>
          <w:rFonts w:ascii="Poppins" w:hAnsi="Poppins" w:cs="Poppins"/>
          <w:lang w:val="en-GB"/>
        </w:rPr>
      </w:pPr>
      <w:r w:rsidRPr="009C70C8">
        <w:rPr>
          <w:rFonts w:ascii="Poppins" w:hAnsi="Poppins" w:cs="Poppins"/>
          <w:lang w:val="en-GB"/>
        </w:rPr>
        <w:t xml:space="preserve">Le critiche da questa prospettiva non si concentrano principalmente sulle specifiche prestazioni ammissibili agli incentivi fiscali, quanto piuttosto sulla governance del sistema e sulla sua eccessiva complessità. In particolare, vengono sollevate obiezioni a quelli che vengono percepiti come requisiti eccessivamente rigidi, in particolare l'obbligo di erogare le prestazioni a "categorie omogenee di beneficiari". I sostenitori di questa visione sostengono che tali criteri, concepiti pensando alle grandi aziende e alle funzioni HR avanzate, siano poco adatti al tessuto economico italiano, composto prevalentemente da piccole e medie imprese. In questo contesto, l'impossibilità di differenziare le prestazioni secondo criteri discrezionali o meritocratici è vista come un ostacolo fondamentale alla più ampia diffusione del </w:t>
      </w:r>
      <w:r w:rsidRPr="009C70C8">
        <w:rPr>
          <w:rFonts w:ascii="Poppins" w:hAnsi="Poppins" w:cs="Poppins"/>
          <w:i/>
          <w:lang w:val="en-GB"/>
        </w:rPr>
        <w:t xml:space="preserve">welfare </w:t>
      </w:r>
      <w:proofErr w:type="gramStart"/>
      <w:r w:rsidRPr="009C70C8">
        <w:rPr>
          <w:rFonts w:ascii="Poppins" w:hAnsi="Poppins" w:cs="Poppins"/>
          <w:i/>
          <w:lang w:val="en-GB"/>
        </w:rPr>
        <w:t xml:space="preserve">aziendale </w:t>
      </w:r>
      <w:r w:rsidRPr="009C70C8">
        <w:rPr>
          <w:rFonts w:ascii="Poppins" w:hAnsi="Poppins" w:cs="Poppins"/>
          <w:lang w:val="en-GB"/>
        </w:rPr>
        <w:t>.</w:t>
      </w:r>
      <w:proofErr w:type="gramEnd"/>
      <w:r w:rsidRPr="009C70C8">
        <w:rPr>
          <w:rFonts w:ascii="Poppins" w:hAnsi="Poppins" w:cs="Poppins"/>
          <w:lang w:val="en-GB"/>
        </w:rPr>
        <w:t xml:space="preserve"> Di conseguenza, rischia di essere ridotto a uno strumento standardizzato per gli adempimenti fiscali piuttosto che a uno strumento strategico per la gestione delle risorse umane.</w:t>
      </w:r>
    </w:p>
    <w:p w14:paraId="59DFE3EC" w14:textId="77777777" w:rsidR="009C70C8" w:rsidRPr="009C70C8" w:rsidRDefault="009C70C8" w:rsidP="009C70C8">
      <w:pPr>
        <w:jc w:val="both"/>
        <w:rPr>
          <w:rFonts w:ascii="Poppins" w:hAnsi="Poppins" w:cs="Poppins"/>
          <w:lang w:val="en-GB"/>
        </w:rPr>
      </w:pPr>
      <w:r w:rsidRPr="009C70C8">
        <w:rPr>
          <w:rFonts w:ascii="Poppins" w:hAnsi="Poppins" w:cs="Poppins"/>
          <w:lang w:val="en-GB"/>
        </w:rPr>
        <w:t>L'attuale quadro normativo è inoltre criticato per aver tentato di definire rigidamente i confini dell'"utilità sociale" attraverso elenchi di spese ammissibili che, nella pratica, hanno creato "aree grigie" e ambiguità interpretative. Di conseguenza, molti consulenti e datori di lavoro avrebbero adottato un atteggiamento cauto, spesso astenendosi dall'implementare servizi innovativi – come le cosiddette soluzioni "</w:t>
      </w:r>
      <w:proofErr w:type="gramStart"/>
      <w:r w:rsidRPr="009C70C8">
        <w:rPr>
          <w:rFonts w:ascii="Poppins" w:hAnsi="Poppins" w:cs="Poppins"/>
          <w:lang w:val="en-GB"/>
        </w:rPr>
        <w:t>time-saving</w:t>
      </w:r>
      <w:proofErr w:type="gramEnd"/>
      <w:r w:rsidRPr="009C70C8">
        <w:rPr>
          <w:rFonts w:ascii="Poppins" w:hAnsi="Poppins" w:cs="Poppins"/>
          <w:lang w:val="en-GB"/>
        </w:rPr>
        <w:t xml:space="preserve">" – che, pur rispondendo </w:t>
      </w:r>
      <w:proofErr w:type="gramStart"/>
      <w:r w:rsidRPr="009C70C8">
        <w:rPr>
          <w:rFonts w:ascii="Poppins" w:hAnsi="Poppins" w:cs="Poppins"/>
          <w:lang w:val="en-GB"/>
        </w:rPr>
        <w:t>a</w:t>
      </w:r>
      <w:proofErr w:type="gramEnd"/>
      <w:r w:rsidRPr="009C70C8">
        <w:rPr>
          <w:rFonts w:ascii="Poppins" w:hAnsi="Poppins" w:cs="Poppins"/>
          <w:lang w:val="en-GB"/>
        </w:rPr>
        <w:t xml:space="preserve"> esigenze reali, potrebbero esporre le aziende a potenziali difficoltà in fase di ispezioni o verifiche fiscali.</w:t>
      </w:r>
    </w:p>
    <w:p w14:paraId="7D37BA8F" w14:textId="77777777" w:rsidR="009C70C8" w:rsidRPr="009C70C8" w:rsidRDefault="009C70C8" w:rsidP="009C70C8">
      <w:pPr>
        <w:jc w:val="both"/>
        <w:rPr>
          <w:rFonts w:ascii="Poppins" w:hAnsi="Poppins" w:cs="Poppins"/>
          <w:lang w:val="en-GB"/>
        </w:rPr>
      </w:pPr>
      <w:r w:rsidRPr="009C70C8">
        <w:rPr>
          <w:rFonts w:ascii="Poppins" w:hAnsi="Poppins" w:cs="Poppins"/>
          <w:lang w:val="en-GB"/>
        </w:rPr>
        <w:t>A questo proposito, vi è anche una diffusa preoccupazione per la frammentazione e l'instabilità del quadro normativo e fiscale. Le frequenti modifiche alle soglie di esenzione per i fringe benefit, unite a una molteplicità di interpretazioni da parte di consulenti, organi di controllo e dell'Agenzia delle Entrate, contribuiscono a un più ampio senso di incertezza giuridica. L'assenza di un'autorità interpretativa unitaria genera un clima in cui molte aziende, in particolare le PMI, preferiscono limitare la propria offerta ai soli fringe benefit, o addirittura ai soli buoni pasto, ritenuti più sicuri e di più immediata fruibilità. Ciò, a sua volta, funge da freno alla sperimentazione di pratiche volte a migliorare la conciliazione tra lavoro e vita privata, a promuovere misure di prevenzione o a sostenere la silver e la longevity economy.</w:t>
      </w:r>
    </w:p>
    <w:p w14:paraId="5DFCFA61" w14:textId="77777777" w:rsidR="009C70C8" w:rsidRPr="009C70C8" w:rsidRDefault="009C70C8" w:rsidP="009C70C8">
      <w:pPr>
        <w:ind w:left="720"/>
        <w:jc w:val="both"/>
        <w:rPr>
          <w:rFonts w:ascii="Poppins" w:hAnsi="Poppins" w:cs="Poppins"/>
        </w:rPr>
      </w:pPr>
      <w:r w:rsidRPr="009C70C8">
        <w:rPr>
          <w:rFonts w:ascii="Poppins" w:hAnsi="Poppins" w:cs="Poppins"/>
        </w:rPr>
        <w:lastRenderedPageBreak/>
        <w:t>[«</w:t>
      </w:r>
      <w:r w:rsidRPr="009C70C8">
        <w:rPr>
          <w:rFonts w:ascii="Poppins" w:hAnsi="Poppins" w:cs="Poppins"/>
          <w:color w:val="0B4E3B"/>
        </w:rPr>
        <w:t>Non aiuta, come spesso accade, il fatto che la normativa sia soggetta a continui cambiamenti e reinterpretazioni. Questo è uno dei problemi strutturali del contesto italiano: manca la certezza del diritto. Una regola valida fino a ieri può essere smentita da un giorno all’altro non da una nuova legge, ma da una semplice circolare interpretativa dell’Agenzia delle Entrate. Una circolare che spesso non è nemmeno firmata, non deriva da un contraddittorio formale, e soprattutto non è il frutto di una sentenza che abbia stabilito chiaramente: “Questa norma va interpretata così</w:t>
      </w:r>
      <w:r w:rsidRPr="009C70C8">
        <w:rPr>
          <w:rFonts w:ascii="Poppins" w:hAnsi="Poppins" w:cs="Poppins"/>
        </w:rPr>
        <w:t>.”», Pure Provider A]</w:t>
      </w:r>
    </w:p>
    <w:p w14:paraId="4D1E53F3" w14:textId="4E7DC144" w:rsidR="009C70C8" w:rsidRPr="009C70C8" w:rsidRDefault="009C70C8" w:rsidP="009C70C8">
      <w:pPr>
        <w:jc w:val="both"/>
        <w:rPr>
          <w:rFonts w:ascii="Poppins" w:hAnsi="Poppins" w:cs="Poppins"/>
          <w:lang w:val="en-GB"/>
        </w:rPr>
      </w:pPr>
      <w:r w:rsidRPr="009C70C8">
        <w:rPr>
          <w:rFonts w:ascii="Poppins" w:hAnsi="Poppins" w:cs="Poppins"/>
          <w:lang w:val="en-GB"/>
        </w:rPr>
        <w:t xml:space="preserve">A questa incertezza si accompagna una debole vigilanza regolamentare in termini di controlli volti a contrastare pratiche considerate di concorrenza sleale. Si percepisce una mancanza di tutele contro comportamenti opportunistici o l'erogazione di servizi che si discostano dallo "spirito originario" del </w:t>
      </w:r>
      <w:r w:rsidRPr="009C70C8">
        <w:rPr>
          <w:rFonts w:ascii="Poppins" w:hAnsi="Poppins" w:cs="Poppins"/>
          <w:i/>
          <w:lang w:val="en-GB"/>
        </w:rPr>
        <w:t>welfare aziendale</w:t>
      </w:r>
      <w:r w:rsidRPr="009C70C8">
        <w:rPr>
          <w:rFonts w:ascii="Poppins" w:hAnsi="Poppins" w:cs="Poppins"/>
          <w:lang w:val="en-GB"/>
        </w:rPr>
        <w:t>. Alcuni intervistati hanno espresso preoccupazione per la presenza sul mercato di operatori che offrono strumenti di spesa privi di trasparenza e standard qualitativi, contribuendo così a una progressiva erosione della legittimità e della credibilità del modello.</w:t>
      </w:r>
    </w:p>
    <w:p w14:paraId="1F875CA8" w14:textId="77777777" w:rsidR="009C70C8" w:rsidRPr="009C70C8" w:rsidRDefault="009C70C8" w:rsidP="009C70C8">
      <w:pPr>
        <w:jc w:val="both"/>
        <w:rPr>
          <w:rFonts w:ascii="Poppins" w:hAnsi="Poppins" w:cs="Poppins"/>
          <w:lang w:val="en-GB"/>
        </w:rPr>
      </w:pPr>
      <w:r w:rsidRPr="009C70C8">
        <w:rPr>
          <w:rFonts w:ascii="Poppins" w:hAnsi="Poppins" w:cs="Poppins"/>
          <w:lang w:val="en-GB"/>
        </w:rPr>
        <w:t xml:space="preserve">Al centro di questa posizione c'è una concezione del </w:t>
      </w:r>
      <w:r w:rsidRPr="009C70C8">
        <w:rPr>
          <w:rFonts w:ascii="Poppins" w:hAnsi="Poppins" w:cs="Poppins"/>
          <w:i/>
          <w:lang w:val="en-GB"/>
        </w:rPr>
        <w:t xml:space="preserve">welfare aziendale </w:t>
      </w:r>
      <w:r w:rsidRPr="009C70C8">
        <w:rPr>
          <w:rFonts w:ascii="Poppins" w:hAnsi="Poppins" w:cs="Poppins"/>
          <w:lang w:val="en-GB"/>
        </w:rPr>
        <w:t>come strumento per promuovere la competitività, premiare le performance e valorizzare la forza lavoro. Esso è visto sia come una misura emergenziale per ridurre il carico fiscale sul lavoro, sia, più strutturalmente, come un mezzo per rafforzare le strategie di attrazione e fidelizzazione dei talenti. In questa prospettiva, il ruolo dello Stato dovrebbe limitarsi a fornire incentivi fiscali e un quadro normativo chiaro, stabile e snello, senza cercare di plasmare il contenuto o le finalità dello strumento. Affinché il quadro normativo sia funzionale, deve rimanere efficiente e compatibile con la libertà imprenditoriale.</w:t>
      </w:r>
    </w:p>
    <w:p w14:paraId="26FA6888" w14:textId="6E7221D3" w:rsidR="009C70C8" w:rsidRPr="009C70C8" w:rsidRDefault="009C70C8" w:rsidP="009C70C8">
      <w:pPr>
        <w:ind w:left="720"/>
        <w:jc w:val="both"/>
        <w:rPr>
          <w:rFonts w:ascii="Poppins" w:hAnsi="Poppins" w:cs="Poppins"/>
        </w:rPr>
      </w:pPr>
      <w:proofErr w:type="gramStart"/>
      <w:r w:rsidRPr="009C70C8">
        <w:rPr>
          <w:rFonts w:ascii="Poppins" w:hAnsi="Poppins" w:cs="Poppins"/>
        </w:rPr>
        <w:t>[ «</w:t>
      </w:r>
      <w:proofErr w:type="gramEnd"/>
      <w:r w:rsidRPr="009C70C8">
        <w:rPr>
          <w:rFonts w:ascii="Poppins" w:hAnsi="Poppins" w:cs="Poppins"/>
          <w:color w:val="0B4E3B"/>
        </w:rPr>
        <w:t>Il punto sono le regole, ed è l'attuazione di queste regole. Se tu mi burocratizzi la procedura, non funziona più niente perché diventa difficile accedere al beneficio, allora io ci rinuncio</w:t>
      </w:r>
      <w:r w:rsidRPr="009C70C8">
        <w:rPr>
          <w:rFonts w:ascii="Poppins" w:hAnsi="Poppins" w:cs="Poppins"/>
        </w:rPr>
        <w:t>!», Pure Provider A]</w:t>
      </w:r>
    </w:p>
    <w:p w14:paraId="6F88F887" w14:textId="77777777" w:rsidR="009C70C8" w:rsidRPr="009C70C8" w:rsidRDefault="009C70C8" w:rsidP="009C70C8">
      <w:pPr>
        <w:jc w:val="both"/>
        <w:rPr>
          <w:rFonts w:ascii="Poppins" w:hAnsi="Poppins" w:cs="Poppins"/>
          <w:lang w:val="en-GB"/>
        </w:rPr>
      </w:pPr>
      <w:r w:rsidRPr="009C70C8">
        <w:rPr>
          <w:rFonts w:ascii="Poppins" w:hAnsi="Poppins" w:cs="Poppins"/>
          <w:lang w:val="en-GB"/>
        </w:rPr>
        <w:t xml:space="preserve">Soprattutto tra gli operatori "puri" allineati a questo approccio, l'obiettivo dichiarato è quello di rendere la piattaforma di welfare una commodity: uno strumento agile, a basso costo, accessibile anche alle piccole imprese e ampiamente disponibile su tutto il territorio nazionale, a condizione che vengano rispettati standard minimi di qualità e trasparenza. In questo quadro, la standardizzazione dell'esperienza utente e la semplificazione delle procedure amministrative sono viste come componenti chiave per ampliare la platea dei beneficiari e favorire la normalizzazione del </w:t>
      </w:r>
      <w:r w:rsidRPr="009C70C8">
        <w:rPr>
          <w:rFonts w:ascii="Poppins" w:hAnsi="Poppins" w:cs="Poppins"/>
          <w:i/>
          <w:lang w:val="en-GB"/>
        </w:rPr>
        <w:t xml:space="preserve">welfare aziendale </w:t>
      </w:r>
      <w:r w:rsidRPr="009C70C8">
        <w:rPr>
          <w:rFonts w:ascii="Poppins" w:hAnsi="Poppins" w:cs="Poppins"/>
          <w:lang w:val="en-GB"/>
        </w:rPr>
        <w:t>nel sistema di relazioni industriali italiano.</w:t>
      </w:r>
    </w:p>
    <w:p w14:paraId="70317951" w14:textId="77777777" w:rsidR="007A39E0" w:rsidRPr="009C70C8" w:rsidRDefault="007A39E0" w:rsidP="009C70C8">
      <w:pPr>
        <w:pStyle w:val="Titolo2"/>
        <w:jc w:val="both"/>
        <w:rPr>
          <w:rFonts w:ascii="Poppins" w:hAnsi="Poppins" w:cs="Poppins"/>
          <w:color w:val="124F1A" w:themeColor="accent3" w:themeShade="BF"/>
          <w:sz w:val="22"/>
          <w:szCs w:val="22"/>
          <w:lang w:val="en-GB"/>
        </w:rPr>
      </w:pPr>
    </w:p>
    <w:sectPr w:rsidR="007A39E0" w:rsidRPr="009C70C8">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0A4EF" w14:textId="77777777" w:rsidR="004634EE" w:rsidRDefault="004634EE" w:rsidP="0079697F">
      <w:r>
        <w:separator/>
      </w:r>
    </w:p>
  </w:endnote>
  <w:endnote w:type="continuationSeparator" w:id="0">
    <w:p w14:paraId="01385932" w14:textId="77777777" w:rsidR="004634EE" w:rsidRDefault="004634EE"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C0961" w14:textId="77777777" w:rsidR="004634EE" w:rsidRDefault="004634EE" w:rsidP="0079697F">
      <w:r>
        <w:separator/>
      </w:r>
    </w:p>
  </w:footnote>
  <w:footnote w:type="continuationSeparator" w:id="0">
    <w:p w14:paraId="710542A2" w14:textId="77777777" w:rsidR="004634EE" w:rsidRDefault="004634EE"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585F"/>
    <w:multiLevelType w:val="multilevel"/>
    <w:tmpl w:val="EA4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F541D"/>
    <w:multiLevelType w:val="hybridMultilevel"/>
    <w:tmpl w:val="385452A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3" w15:restartNumberingAfterBreak="0">
    <w:nsid w:val="77B07491"/>
    <w:multiLevelType w:val="multilevel"/>
    <w:tmpl w:val="54B6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49925">
    <w:abstractNumId w:val="2"/>
  </w:num>
  <w:num w:numId="2" w16cid:durableId="499663861">
    <w:abstractNumId w:val="1"/>
  </w:num>
  <w:num w:numId="3" w16cid:durableId="2102945104">
    <w:abstractNumId w:val="0"/>
  </w:num>
  <w:num w:numId="4" w16cid:durableId="111940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23DFC"/>
    <w:rsid w:val="0005490A"/>
    <w:rsid w:val="000C2BF1"/>
    <w:rsid w:val="000D55C8"/>
    <w:rsid w:val="001108E7"/>
    <w:rsid w:val="001268BF"/>
    <w:rsid w:val="00186E0A"/>
    <w:rsid w:val="001B4EDC"/>
    <w:rsid w:val="001D0BC5"/>
    <w:rsid w:val="001F2272"/>
    <w:rsid w:val="002F6176"/>
    <w:rsid w:val="00352CBC"/>
    <w:rsid w:val="003C75A6"/>
    <w:rsid w:val="00454C07"/>
    <w:rsid w:val="0045675F"/>
    <w:rsid w:val="004634EE"/>
    <w:rsid w:val="004C1BB9"/>
    <w:rsid w:val="004C207B"/>
    <w:rsid w:val="00545AD2"/>
    <w:rsid w:val="005E523C"/>
    <w:rsid w:val="00631427"/>
    <w:rsid w:val="006C3462"/>
    <w:rsid w:val="00737108"/>
    <w:rsid w:val="00775CAA"/>
    <w:rsid w:val="0079697F"/>
    <w:rsid w:val="007A39E0"/>
    <w:rsid w:val="00806D9D"/>
    <w:rsid w:val="00854359"/>
    <w:rsid w:val="008813E0"/>
    <w:rsid w:val="008D1363"/>
    <w:rsid w:val="00933F19"/>
    <w:rsid w:val="009742EB"/>
    <w:rsid w:val="009770E2"/>
    <w:rsid w:val="009C363F"/>
    <w:rsid w:val="009C70C8"/>
    <w:rsid w:val="00A0407F"/>
    <w:rsid w:val="00A42980"/>
    <w:rsid w:val="00A560ED"/>
    <w:rsid w:val="00AC58FF"/>
    <w:rsid w:val="00AE6E0D"/>
    <w:rsid w:val="00B665DD"/>
    <w:rsid w:val="00B72DDC"/>
    <w:rsid w:val="00BB3C6F"/>
    <w:rsid w:val="00C72F59"/>
    <w:rsid w:val="00CA1755"/>
    <w:rsid w:val="00CF3DA8"/>
    <w:rsid w:val="00D34108"/>
    <w:rsid w:val="00D90479"/>
    <w:rsid w:val="00DA4184"/>
    <w:rsid w:val="00DF7665"/>
    <w:rsid w:val="00F35BB5"/>
    <w:rsid w:val="00F421C8"/>
    <w:rsid w:val="00F72983"/>
    <w:rsid w:val="00F94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39E0"/>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PidipaginaCarattere">
    <w:name w:val="Piè di pagina Carattere"/>
    <w:basedOn w:val="Carpredefinitoparagrafo"/>
    <w:link w:val="Pidipagina"/>
    <w:uiPriority w:val="99"/>
    <w:rsid w:val="0079697F"/>
  </w:style>
  <w:style w:type="table" w:styleId="Grigliatabella">
    <w:name w:val="Table Grid"/>
    <w:basedOn w:val="Tabellanormale"/>
    <w:uiPriority w:val="39"/>
    <w:rsid w:val="00A560ED"/>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Testonotaapidipagina">
    <w:name w:val="footnote text"/>
    <w:basedOn w:val="Normale"/>
    <w:link w:val="TestonotaapidipaginaCarattere"/>
    <w:uiPriority w:val="99"/>
    <w:unhideWhenUsed/>
    <w:rsid w:val="00A560ED"/>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A560ED"/>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A560ED"/>
    <w:rPr>
      <w:vertAlign w:val="superscript"/>
    </w:rPr>
  </w:style>
  <w:style w:type="paragraph" w:styleId="Didascalia">
    <w:name w:val="caption"/>
    <w:basedOn w:val="Normale"/>
    <w:next w:val="Normale"/>
    <w:uiPriority w:val="35"/>
    <w:unhideWhenUsed/>
    <w:qFormat/>
    <w:rsid w:val="00A560ED"/>
    <w:pPr>
      <w:keepNext/>
      <w:spacing w:before="240" w:after="0" w:line="240" w:lineRule="auto"/>
      <w:jc w:val="both"/>
    </w:pPr>
    <w:rPr>
      <w:rFonts w:ascii="Times New Roman" w:eastAsiaTheme="minorHAnsi" w:hAnsi="Times New Roman" w:cstheme="minorBidi"/>
      <w:i/>
      <w:iCs/>
      <w:sz w:val="20"/>
      <w:szCs w:val="18"/>
      <w:lang w:eastAsia="ja-JP"/>
    </w:rPr>
  </w:style>
  <w:style w:type="paragraph" w:styleId="Nessunaspaziatura">
    <w:name w:val="No Spacing"/>
    <w:basedOn w:val="Normale"/>
    <w:link w:val="NessunaspaziaturaCarattere"/>
    <w:uiPriority w:val="1"/>
    <w:qFormat/>
    <w:rsid w:val="001108E7"/>
    <w:pPr>
      <w:spacing w:after="0" w:line="240" w:lineRule="auto"/>
      <w:jc w:val="both"/>
    </w:pPr>
    <w:rPr>
      <w:rFonts w:ascii="Poppins" w:eastAsiaTheme="minorEastAsia" w:hAnsi="Poppins" w:cstheme="minorBidi"/>
      <w:sz w:val="16"/>
      <w:szCs w:val="20"/>
    </w:rPr>
  </w:style>
  <w:style w:type="character" w:customStyle="1" w:styleId="NessunaspaziaturaCarattere">
    <w:name w:val="Nessuna spaziatura Carattere"/>
    <w:basedOn w:val="Carpredefinitoparagrafo"/>
    <w:link w:val="Nessunaspaziatura"/>
    <w:uiPriority w:val="1"/>
    <w:rsid w:val="001108E7"/>
    <w:rPr>
      <w:rFonts w:ascii="Poppins" w:eastAsiaTheme="minorEastAsia" w:hAnsi="Poppins"/>
      <w:kern w:val="0"/>
      <w:sz w:val="16"/>
      <w:szCs w:val="2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845</Words>
  <Characters>4818</Characters>
  <Application>Microsoft Office Word</Application>
  <DocSecurity>0</DocSecurity>
  <Lines>40</Lines>
  <Paragraphs>11</Paragraphs>
  <ScaleCrop>false</ScaleCrop>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42</cp:revision>
  <dcterms:created xsi:type="dcterms:W3CDTF">2025-09-29T20:31:00Z</dcterms:created>
  <dcterms:modified xsi:type="dcterms:W3CDTF">2025-10-02T13:51:00Z</dcterms:modified>
</cp:coreProperties>
</file>