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97CCF" w14:textId="77777777" w:rsidR="00DD64CA" w:rsidRPr="007C7C9C" w:rsidRDefault="00DD64CA" w:rsidP="007C7C9C">
      <w:pPr>
        <w:pStyle w:val="Titolo2"/>
        <w:jc w:val="center"/>
        <w:rPr>
          <w:rFonts w:ascii="Poppins" w:hAnsi="Poppins" w:cs="Poppins"/>
          <w:color w:val="124F1A" w:themeColor="accent3" w:themeShade="BF"/>
          <w:sz w:val="36"/>
          <w:szCs w:val="36"/>
          <w:lang w:val="en-GB"/>
        </w:rPr>
      </w:pPr>
      <w:bookmarkStart w:id="0" w:name="_Toc188282649"/>
    </w:p>
    <w:p w14:paraId="64CA755C" w14:textId="77777777" w:rsidR="00476F02" w:rsidRDefault="00476F02" w:rsidP="00476F02">
      <w:pPr>
        <w:pStyle w:val="Titolo2"/>
        <w:jc w:val="center"/>
        <w:rPr>
          <w:rFonts w:ascii="Poppins" w:hAnsi="Poppins" w:cs="Poppins"/>
          <w:color w:val="124F1A" w:themeColor="accent3" w:themeShade="BF"/>
          <w:sz w:val="36"/>
          <w:szCs w:val="36"/>
          <w:lang w:val="en-GB"/>
        </w:rPr>
      </w:pPr>
      <w:bookmarkStart w:id="1" w:name="_Toc188282654"/>
      <w:bookmarkEnd w:id="0"/>
      <w:r w:rsidRPr="00476F02">
        <w:rPr>
          <w:rFonts w:ascii="Poppins" w:hAnsi="Poppins" w:cs="Poppins"/>
          <w:color w:val="124F1A" w:themeColor="accent3" w:themeShade="BF"/>
          <w:sz w:val="36"/>
          <w:szCs w:val="36"/>
          <w:lang w:val="en-GB"/>
        </w:rPr>
        <w:t>Monitoraggio e valutazione della Silver Economy: spunti dalla letteratura</w:t>
      </w:r>
      <w:bookmarkEnd w:id="1"/>
    </w:p>
    <w:p w14:paraId="0514DC09" w14:textId="77777777" w:rsidR="00476F02" w:rsidRPr="00476F02" w:rsidRDefault="00476F02" w:rsidP="00476F02">
      <w:pPr>
        <w:rPr>
          <w:lang w:val="en-GB" w:eastAsia="en-US"/>
        </w:rPr>
      </w:pPr>
    </w:p>
    <w:p w14:paraId="46053B7D" w14:textId="7155B21B" w:rsidR="00476F02" w:rsidRPr="008B346E" w:rsidRDefault="00476F02" w:rsidP="00476F02">
      <w:pPr>
        <w:jc w:val="both"/>
        <w:rPr>
          <w:rFonts w:ascii="Poppins" w:hAnsi="Poppins" w:cs="Poppins"/>
          <w:sz w:val="20"/>
          <w:szCs w:val="20"/>
          <w:lang w:val="en-GB"/>
        </w:rPr>
      </w:pPr>
      <w:r w:rsidRPr="008B346E">
        <w:rPr>
          <w:rFonts w:ascii="Poppins" w:hAnsi="Poppins" w:cs="Poppins"/>
          <w:sz w:val="20"/>
          <w:szCs w:val="20"/>
          <w:lang w:val="en-GB"/>
        </w:rPr>
        <w:t>La letteratura include diversi studi volti a sviluppare indici per valutare e monitorare la silver economy. Alcuni, analogamente all'Active Ageing Index (AAI), mirano a creare strumenti per descrivere le dinamiche del fenomeno da una prospettiva comparativa nel tempo e nei paesi (Bieszk- Stolorz et al., 2024; Roch-Dupré et al., 2024; Roszko- Wójtowicz et al., 2024). Altri si concentrano più specificamente sulla valutazione del successo delle politiche pubbliche che promuovono la silver economy a livello regionale (Podgórniak-Krzykacz et al., 2024). La tabella seguente presenta questi contributi insieme ai rispettivi abstract e agli indicatori utilizzati.</w:t>
      </w:r>
    </w:p>
    <w:p w14:paraId="51C807EB" w14:textId="77777777" w:rsidR="00476F02" w:rsidRPr="008B346E" w:rsidRDefault="00476F02" w:rsidP="00476F02">
      <w:pPr>
        <w:pStyle w:val="Didascalia"/>
        <w:rPr>
          <w:rFonts w:ascii="Poppins" w:hAnsi="Poppins" w:cs="Poppins"/>
          <w:szCs w:val="20"/>
          <w:lang w:val="en-GB"/>
        </w:rPr>
      </w:pPr>
      <w:r w:rsidRPr="008B346E">
        <w:rPr>
          <w:rFonts w:ascii="Poppins" w:hAnsi="Poppins" w:cs="Poppins"/>
          <w:szCs w:val="20"/>
          <w:lang w:val="en-GB"/>
        </w:rPr>
        <w:t xml:space="preserve">Tabella </w:t>
      </w:r>
      <w:r w:rsidRPr="008B346E">
        <w:rPr>
          <w:rFonts w:ascii="Poppins" w:hAnsi="Poppins" w:cs="Poppins"/>
          <w:noProof/>
          <w:szCs w:val="20"/>
          <w:lang w:val="en-GB"/>
        </w:rPr>
        <w:t xml:space="preserve">19 </w:t>
      </w:r>
      <w:r w:rsidRPr="008B346E">
        <w:rPr>
          <w:rFonts w:ascii="Poppins" w:hAnsi="Poppins" w:cs="Poppins"/>
          <w:szCs w:val="20"/>
          <w:lang w:val="en-GB"/>
        </w:rPr>
        <w:t>- Proposte per il monitoraggio e la valutazione della silver economy: spunti dalla revisione della letteratura.</w:t>
      </w:r>
    </w:p>
    <w:tbl>
      <w:tblPr>
        <w:tblStyle w:val="Grigliatabella"/>
        <w:tblW w:w="0" w:type="auto"/>
        <w:tblInd w:w="0" w:type="dxa"/>
        <w:tblLook w:val="04A0" w:firstRow="1" w:lastRow="0" w:firstColumn="1" w:lastColumn="0" w:noHBand="0" w:noVBand="1"/>
      </w:tblPr>
      <w:tblGrid>
        <w:gridCol w:w="9016"/>
      </w:tblGrid>
      <w:tr w:rsidR="00476F02" w:rsidRPr="008B346E" w14:paraId="2E793680" w14:textId="77777777" w:rsidTr="00B74592">
        <w:tc>
          <w:tcPr>
            <w:tcW w:w="9016" w:type="dxa"/>
          </w:tcPr>
          <w:p w14:paraId="01E4B697" w14:textId="77777777" w:rsidR="00476F02" w:rsidRPr="008B346E" w:rsidRDefault="00476F02" w:rsidP="00B74592">
            <w:pPr>
              <w:jc w:val="both"/>
              <w:rPr>
                <w:rFonts w:ascii="Poppins" w:hAnsi="Poppins" w:cs="Poppins"/>
                <w:color w:val="000000"/>
                <w:lang w:val="en-GB"/>
              </w:rPr>
            </w:pPr>
            <w:r w:rsidRPr="008B346E">
              <w:rPr>
                <w:rFonts w:ascii="Poppins" w:hAnsi="Poppins" w:cs="Poppins"/>
                <w:b/>
                <w:bCs/>
                <w:color w:val="000000"/>
                <w:lang w:val="en-GB"/>
              </w:rPr>
              <w:t xml:space="preserve">Fonte: </w:t>
            </w:r>
            <w:r w:rsidRPr="008B346E">
              <w:rPr>
                <w:rFonts w:ascii="Poppins" w:hAnsi="Poppins" w:cs="Poppins"/>
                <w:color w:val="000000"/>
                <w:lang w:val="en-GB"/>
              </w:rPr>
              <w:t xml:space="preserve">Bieszk- Stolorz , B., Dmytrów , K., &amp; Frąckiewicz , E. (2024). Analisi multivariata dello sviluppo sostenibile dell'economia d'argento nei paesi dell'Unione europea. </w:t>
            </w:r>
            <w:r w:rsidRPr="008B346E">
              <w:rPr>
                <w:rFonts w:ascii="Poppins" w:hAnsi="Poppins" w:cs="Poppins"/>
                <w:i/>
                <w:iCs/>
                <w:color w:val="000000"/>
                <w:lang w:val="en-GB"/>
              </w:rPr>
              <w:t xml:space="preserve">Sostenibilità </w:t>
            </w:r>
            <w:r w:rsidRPr="008B346E">
              <w:rPr>
                <w:rFonts w:ascii="Poppins" w:hAnsi="Poppins" w:cs="Poppins"/>
                <w:color w:val="000000"/>
                <w:lang w:val="en-GB"/>
              </w:rPr>
              <w:t xml:space="preserve">, </w:t>
            </w:r>
            <w:r w:rsidRPr="008B346E">
              <w:rPr>
                <w:rFonts w:ascii="Poppins" w:hAnsi="Poppins" w:cs="Poppins"/>
                <w:i/>
                <w:iCs/>
                <w:color w:val="000000"/>
                <w:lang w:val="en-GB"/>
              </w:rPr>
              <w:t xml:space="preserve">16 </w:t>
            </w:r>
            <w:r w:rsidRPr="008B346E">
              <w:rPr>
                <w:rFonts w:ascii="Poppins" w:hAnsi="Poppins" w:cs="Poppins"/>
                <w:color w:val="000000"/>
                <w:lang w:val="en-GB"/>
              </w:rPr>
              <w:t>(23), 10703. https://doi.org/10.3390/su162310703</w:t>
            </w:r>
          </w:p>
          <w:p w14:paraId="3E3D67C4" w14:textId="77777777" w:rsidR="00476F02" w:rsidRPr="008B346E" w:rsidRDefault="00476F02" w:rsidP="00B74592">
            <w:pPr>
              <w:jc w:val="both"/>
              <w:rPr>
                <w:rFonts w:ascii="Poppins" w:hAnsi="Poppins" w:cs="Poppins"/>
                <w:color w:val="000000"/>
                <w:lang w:val="en-GB"/>
              </w:rPr>
            </w:pPr>
          </w:p>
          <w:p w14:paraId="54C2AAC9" w14:textId="77777777" w:rsidR="00476F02" w:rsidRPr="008B346E" w:rsidRDefault="00476F02" w:rsidP="00B74592">
            <w:pPr>
              <w:jc w:val="both"/>
              <w:rPr>
                <w:rFonts w:ascii="Poppins" w:hAnsi="Poppins" w:cs="Poppins"/>
                <w:color w:val="000000"/>
                <w:lang w:val="en-GB"/>
              </w:rPr>
            </w:pPr>
            <w:r w:rsidRPr="008B346E">
              <w:rPr>
                <w:rFonts w:ascii="Poppins" w:hAnsi="Poppins" w:cs="Poppins"/>
                <w:b/>
                <w:bCs/>
                <w:color w:val="000000"/>
                <w:lang w:val="en-GB"/>
              </w:rPr>
              <w:t xml:space="preserve">Abstract: </w:t>
            </w:r>
            <w:r w:rsidRPr="008B346E">
              <w:rPr>
                <w:rFonts w:ascii="Poppins" w:hAnsi="Poppins" w:cs="Poppins"/>
                <w:color w:val="000000"/>
                <w:lang w:val="en-GB"/>
              </w:rPr>
              <w:t>L'invecchiamento della società è una delle maggiori sfide del mondo moderno. La risposta a questa nuova realtà è lo sviluppo della cosiddetta "silver economy". Si tratta di un concetto multidimensionale che rappresenta un fattore estremamente importante per lo sviluppo sostenibile. L'obiettivo di questo articolo è confrontare i paesi dell'UE in base ad aspetti selezionati dello sviluppo della "silver economy". Questo studio ha riguardato gli anni 2009-2021 ed è stato condotto sulla base dei dati del database Eurostat. Lo studio ha utilizzato metodi di analisi statistica multivariata: k-means, COmplex. Proporzionale Valutazione (COPRAS) in un approccio dinamico, Dynamic Time Warping (DTW) e clustering gerarchico. I paesi dell'UE differiscono in termini di aspetti studiati della Silver Economy in direzione nord-sud. Nel periodo in esame, si sono verificati cambiamenti significativi nelle classifiche nazionali e questi cambiamenti non sono stati gli stessi per i paesi dell'UE. Inoltre, la maggior parte dei paesi dell'UE ha indicato miglioramenti in termini di aspetti analizzati della Silver Economy. Un approccio innovativo è l'utilizzo del metodo COPRAS in un approccio dinamico, grazie al quale è possibile sviluppare non solo classifiche nazionali, ma anche analizzare le dinamiche dei cambiamenti.</w:t>
            </w:r>
          </w:p>
          <w:p w14:paraId="4B1ED708" w14:textId="77777777" w:rsidR="00476F02" w:rsidRPr="008B346E" w:rsidRDefault="00476F02" w:rsidP="00B74592">
            <w:pPr>
              <w:jc w:val="both"/>
              <w:rPr>
                <w:rFonts w:ascii="Poppins" w:hAnsi="Poppins" w:cs="Poppins"/>
                <w:color w:val="000000"/>
                <w:lang w:val="en-GB"/>
              </w:rPr>
            </w:pPr>
          </w:p>
          <w:p w14:paraId="792C2AF7" w14:textId="77777777" w:rsidR="00476F02" w:rsidRPr="008B346E" w:rsidRDefault="00476F02" w:rsidP="00B74592">
            <w:pPr>
              <w:jc w:val="both"/>
              <w:rPr>
                <w:rFonts w:ascii="Poppins" w:hAnsi="Poppins" w:cs="Poppins"/>
                <w:color w:val="000000"/>
                <w:lang w:val="en-GB"/>
              </w:rPr>
            </w:pPr>
            <w:r w:rsidRPr="008B346E">
              <w:rPr>
                <w:rFonts w:ascii="Poppins" w:hAnsi="Poppins" w:cs="Poppins"/>
                <w:b/>
                <w:bCs/>
                <w:color w:val="000000"/>
                <w:lang w:val="en-GB"/>
              </w:rPr>
              <w:lastRenderedPageBreak/>
              <w:t xml:space="preserve">Indicatori: </w:t>
            </w:r>
            <w:r w:rsidRPr="008B346E">
              <w:rPr>
                <w:rFonts w:ascii="Poppins" w:hAnsi="Poppins" w:cs="Poppins"/>
                <w:color w:val="000000"/>
                <w:lang w:val="en-GB"/>
              </w:rPr>
              <w:t xml:space="preserve">x1) </w:t>
            </w:r>
            <w:r w:rsidRPr="008B346E">
              <w:rPr>
                <w:rFonts w:ascii="Poppins" w:hAnsi="Poppins" w:cs="Poppins"/>
                <w:i/>
                <w:iCs/>
                <w:color w:val="000000"/>
                <w:lang w:val="en-GB"/>
              </w:rPr>
              <w:t xml:space="preserve">quota di popolazione di età pari o superiore a 65 anni nella popolazione totale </w:t>
            </w:r>
            <w:r w:rsidRPr="008B346E">
              <w:rPr>
                <w:rFonts w:ascii="Poppins" w:hAnsi="Poppins" w:cs="Poppins"/>
                <w:color w:val="000000"/>
                <w:lang w:val="en-GB"/>
              </w:rPr>
              <w:t xml:space="preserve">( destimolante ); x2) </w:t>
            </w:r>
            <w:r w:rsidRPr="008B346E">
              <w:rPr>
                <w:rFonts w:ascii="Poppins" w:hAnsi="Poppins" w:cs="Poppins"/>
                <w:i/>
                <w:iCs/>
                <w:color w:val="000000"/>
                <w:lang w:val="en-GB"/>
              </w:rPr>
              <w:t xml:space="preserve">indice di dipendenza degli anziani </w:t>
            </w:r>
            <w:r w:rsidRPr="008B346E">
              <w:rPr>
                <w:rFonts w:ascii="Poppins" w:hAnsi="Poppins" w:cs="Poppins"/>
                <w:color w:val="000000"/>
                <w:lang w:val="en-GB"/>
              </w:rPr>
              <w:t xml:space="preserve">( destimolante ) ; x3) </w:t>
            </w:r>
            <w:r w:rsidRPr="008B346E">
              <w:rPr>
                <w:rFonts w:ascii="Poppins" w:hAnsi="Poppins" w:cs="Poppins"/>
                <w:i/>
                <w:iCs/>
                <w:color w:val="000000"/>
                <w:lang w:val="en-GB"/>
              </w:rPr>
              <w:t xml:space="preserve">indice di attività delle persone di età pari o superiore a 65 anni </w:t>
            </w:r>
            <w:r w:rsidRPr="008B346E">
              <w:rPr>
                <w:rFonts w:ascii="Poppins" w:hAnsi="Poppins" w:cs="Poppins"/>
                <w:color w:val="000000"/>
                <w:lang w:val="en-GB"/>
              </w:rPr>
              <w:t xml:space="preserve">(stimolante); x4) </w:t>
            </w:r>
            <w:r w:rsidRPr="008B346E">
              <w:rPr>
                <w:rFonts w:ascii="Poppins" w:hAnsi="Poppins" w:cs="Poppins"/>
                <w:i/>
                <w:iCs/>
                <w:color w:val="000000"/>
                <w:lang w:val="en-GB"/>
              </w:rPr>
              <w:t xml:space="preserve">indice di occupazione delle persone di età compresa tra 55 e 64 anni </w:t>
            </w:r>
            <w:r w:rsidRPr="008B346E">
              <w:rPr>
                <w:rFonts w:ascii="Poppins" w:hAnsi="Poppins" w:cs="Poppins"/>
                <w:color w:val="000000"/>
                <w:lang w:val="en-GB"/>
              </w:rPr>
              <w:t xml:space="preserve">(stimolante); x5) </w:t>
            </w:r>
            <w:r w:rsidRPr="008B346E">
              <w:rPr>
                <w:rFonts w:ascii="Poppins" w:hAnsi="Poppins" w:cs="Poppins"/>
                <w:i/>
                <w:iCs/>
                <w:color w:val="000000"/>
                <w:lang w:val="en-GB"/>
              </w:rPr>
              <w:t xml:space="preserve">quota di pensioni di vecchiaia nel PIL </w:t>
            </w:r>
            <w:r w:rsidRPr="008B346E">
              <w:rPr>
                <w:rFonts w:ascii="Poppins" w:hAnsi="Poppins" w:cs="Poppins"/>
                <w:color w:val="000000"/>
                <w:lang w:val="en-GB"/>
              </w:rPr>
              <w:t xml:space="preserve">( destimolante ) ; x6) </w:t>
            </w:r>
            <w:r w:rsidRPr="008B346E">
              <w:rPr>
                <w:rFonts w:ascii="Poppins" w:hAnsi="Poppins" w:cs="Poppins"/>
                <w:i/>
                <w:iCs/>
                <w:color w:val="000000"/>
                <w:lang w:val="en-GB"/>
              </w:rPr>
              <w:t xml:space="preserve">quota di persone inattive di età compresa tra 55 e 74 anni disposte a lavorare, ma che non cercano un impiego </w:t>
            </w:r>
            <w:r w:rsidRPr="008B346E">
              <w:rPr>
                <w:rFonts w:ascii="Poppins" w:hAnsi="Poppins" w:cs="Poppins"/>
                <w:color w:val="000000"/>
                <w:lang w:val="en-GB"/>
              </w:rPr>
              <w:t xml:space="preserve">( destimolante ); x7) </w:t>
            </w:r>
            <w:r w:rsidRPr="008B346E">
              <w:rPr>
                <w:rFonts w:ascii="Poppins" w:hAnsi="Poppins" w:cs="Poppins"/>
                <w:i/>
                <w:iCs/>
                <w:color w:val="000000"/>
                <w:lang w:val="en-GB"/>
              </w:rPr>
              <w:t xml:space="preserve">tasso di rischio di povertà per i pensionati di età pari o superiore a 65 anni </w:t>
            </w:r>
            <w:r w:rsidRPr="008B346E">
              <w:rPr>
                <w:rFonts w:ascii="Poppins" w:hAnsi="Poppins" w:cs="Poppins"/>
                <w:color w:val="000000"/>
                <w:lang w:val="en-GB"/>
              </w:rPr>
              <w:t xml:space="preserve">( destimolante ); x8) </w:t>
            </w:r>
            <w:r w:rsidRPr="008B346E">
              <w:rPr>
                <w:rFonts w:ascii="Poppins" w:hAnsi="Poppins" w:cs="Poppins"/>
                <w:i/>
                <w:iCs/>
                <w:color w:val="000000"/>
                <w:lang w:val="en-GB"/>
              </w:rPr>
              <w:t xml:space="preserve">quota di prestazioni di protezione sociale per gli anziani nel PIL </w:t>
            </w:r>
            <w:r w:rsidRPr="008B346E">
              <w:rPr>
                <w:rFonts w:ascii="Poppins" w:hAnsi="Poppins" w:cs="Poppins"/>
                <w:color w:val="000000"/>
                <w:lang w:val="en-GB"/>
              </w:rPr>
              <w:t>( destimolante ).</w:t>
            </w:r>
          </w:p>
        </w:tc>
      </w:tr>
      <w:tr w:rsidR="00476F02" w:rsidRPr="008B346E" w14:paraId="33A21991" w14:textId="77777777" w:rsidTr="00B74592">
        <w:tc>
          <w:tcPr>
            <w:tcW w:w="9016" w:type="dxa"/>
          </w:tcPr>
          <w:p w14:paraId="7B2C8E35" w14:textId="77777777" w:rsidR="00476F02" w:rsidRPr="008B346E" w:rsidRDefault="00476F02" w:rsidP="00B74592">
            <w:pPr>
              <w:jc w:val="both"/>
              <w:rPr>
                <w:rFonts w:ascii="Poppins" w:hAnsi="Poppins" w:cs="Poppins"/>
                <w:color w:val="000000"/>
                <w:lang w:val="en-GB"/>
              </w:rPr>
            </w:pPr>
            <w:r w:rsidRPr="008B346E">
              <w:rPr>
                <w:rFonts w:ascii="Poppins" w:hAnsi="Poppins" w:cs="Poppins"/>
                <w:b/>
                <w:bCs/>
                <w:color w:val="000000"/>
                <w:lang w:val="en-GB"/>
              </w:rPr>
              <w:lastRenderedPageBreak/>
              <w:t xml:space="preserve">Fonte: </w:t>
            </w:r>
            <w:r w:rsidRPr="008B346E">
              <w:rPr>
                <w:rFonts w:ascii="Poppins" w:hAnsi="Poppins" w:cs="Poppins"/>
                <w:color w:val="000000"/>
                <w:lang w:val="en-GB"/>
              </w:rPr>
              <w:t xml:space="preserve">Roch-Dupré, D., Aracil , E., &amp; Calvo- Bascones , P. (2024). Monitoraggio della preparazione socioeconomica per la transizione demografica: introduzione del Senior Economy Tracker. </w:t>
            </w:r>
            <w:r w:rsidRPr="008B346E">
              <w:rPr>
                <w:rFonts w:ascii="Poppins" w:hAnsi="Poppins" w:cs="Poppins"/>
                <w:i/>
                <w:iCs/>
                <w:color w:val="000000"/>
                <w:lang w:val="en-GB"/>
              </w:rPr>
              <w:t xml:space="preserve">Cambiamento strutturale e dinamiche economiche </w:t>
            </w:r>
            <w:r w:rsidRPr="008B346E">
              <w:rPr>
                <w:rFonts w:ascii="Poppins" w:hAnsi="Poppins" w:cs="Poppins"/>
                <w:color w:val="000000"/>
                <w:lang w:val="en-GB"/>
              </w:rPr>
              <w:t xml:space="preserve">, </w:t>
            </w:r>
            <w:r w:rsidRPr="008B346E">
              <w:rPr>
                <w:rFonts w:ascii="Poppins" w:hAnsi="Poppins" w:cs="Poppins"/>
                <w:i/>
                <w:iCs/>
                <w:color w:val="000000"/>
                <w:lang w:val="en-GB"/>
              </w:rPr>
              <w:t xml:space="preserve">71 </w:t>
            </w:r>
            <w:r w:rsidRPr="008B346E">
              <w:rPr>
                <w:rFonts w:ascii="Poppins" w:hAnsi="Poppins" w:cs="Poppins"/>
                <w:color w:val="000000"/>
                <w:lang w:val="en-GB"/>
              </w:rPr>
              <w:t>, 430–443. https://doi.org/10.1016/j.strueco.2024.08.007</w:t>
            </w:r>
          </w:p>
          <w:p w14:paraId="775892EB" w14:textId="77777777" w:rsidR="00476F02" w:rsidRPr="008B346E" w:rsidRDefault="00476F02" w:rsidP="00B74592">
            <w:pPr>
              <w:jc w:val="both"/>
              <w:rPr>
                <w:rFonts w:ascii="Poppins" w:hAnsi="Poppins" w:cs="Poppins"/>
                <w:color w:val="000000"/>
                <w:lang w:val="en-GB"/>
              </w:rPr>
            </w:pPr>
          </w:p>
          <w:p w14:paraId="1C093164" w14:textId="77777777" w:rsidR="00476F02" w:rsidRPr="008B346E" w:rsidRDefault="00476F02" w:rsidP="00B74592">
            <w:pPr>
              <w:jc w:val="both"/>
              <w:rPr>
                <w:rFonts w:ascii="Poppins" w:hAnsi="Poppins" w:cs="Poppins"/>
                <w:color w:val="000000"/>
                <w:lang w:val="en-GB"/>
              </w:rPr>
            </w:pPr>
            <w:r w:rsidRPr="008B346E">
              <w:rPr>
                <w:rFonts w:ascii="Poppins" w:hAnsi="Poppins" w:cs="Poppins"/>
                <w:b/>
                <w:bCs/>
                <w:color w:val="000000"/>
                <w:lang w:val="en-GB"/>
              </w:rPr>
              <w:t xml:space="preserve">Abstract: </w:t>
            </w:r>
            <w:r w:rsidRPr="008B346E">
              <w:rPr>
                <w:rFonts w:ascii="Poppins" w:hAnsi="Poppins" w:cs="Poppins"/>
                <w:color w:val="000000"/>
                <w:lang w:val="en-GB"/>
              </w:rPr>
              <w:t>L'invecchiamento rappresenta la sfida demografica dominante a livello globale. La transizione demografica comporta un cambio di paradigma nel modello economico per adattare le strutture economiche all'aumento dell'aspettativa di vita. Le implicazioni socioeconomiche di questa transizione rimangono in gran parte indefinite concettualmente da una prospettiva integrata e non riconosciute nelle statistiche ufficiali. Questo studio introduce un quadro di riferimento multidimensionale e multiattore e un indicatore composito, il Senior Economy Tracker (SET), per misurare la preparazione nazionale e i progressi nell'adattamento alla transizione demografica, nel tempo e tra i paesi. Applichiamo il nostro indicatore a 27 paesi europei nel periodo 2010-2021. Il nostro studio rivela differenze cruciali nei percorsi e nelle fasi di maturità nell'affrontare gli impatti socioeconomici dell'invecchiamento. L'indicatore proposto mira a orientare le azioni per adattare le strutture economiche all'aumento della durata della vita, supportare il processo decisionale a livello organizzativo e individuale, facilitare lo sviluppo di interventi politici efficaci e aumentare la consapevolezza sulla transizione demografica.</w:t>
            </w:r>
          </w:p>
          <w:p w14:paraId="27B89216" w14:textId="77777777" w:rsidR="00476F02" w:rsidRPr="008B346E" w:rsidRDefault="00476F02" w:rsidP="00B74592">
            <w:pPr>
              <w:jc w:val="both"/>
              <w:rPr>
                <w:rFonts w:ascii="Poppins" w:hAnsi="Poppins" w:cs="Poppins"/>
                <w:color w:val="000000"/>
                <w:lang w:val="en-GB"/>
              </w:rPr>
            </w:pPr>
          </w:p>
          <w:p w14:paraId="6EC917C7" w14:textId="77777777" w:rsidR="00476F02" w:rsidRPr="008B346E" w:rsidRDefault="00476F02" w:rsidP="00B74592">
            <w:pPr>
              <w:jc w:val="both"/>
              <w:rPr>
                <w:rFonts w:ascii="Poppins" w:hAnsi="Poppins" w:cs="Poppins"/>
                <w:b/>
                <w:bCs/>
                <w:color w:val="000000"/>
                <w:lang w:val="en-GB"/>
              </w:rPr>
            </w:pPr>
            <w:r w:rsidRPr="008B346E">
              <w:rPr>
                <w:rFonts w:ascii="Poppins" w:hAnsi="Poppins" w:cs="Poppins"/>
                <w:b/>
                <w:bCs/>
                <w:color w:val="000000"/>
                <w:lang w:val="en-GB"/>
              </w:rPr>
              <w:t xml:space="preserve">Indicatori: </w:t>
            </w:r>
            <w:r w:rsidRPr="008B346E">
              <w:rPr>
                <w:rFonts w:ascii="Poppins" w:hAnsi="Poppins" w:cs="Poppins"/>
                <w:lang w:val="en-GB"/>
              </w:rPr>
              <w:t xml:space="preserve">Dimensione demografica (A): A1.1 </w:t>
            </w:r>
            <w:r w:rsidRPr="008B346E">
              <w:rPr>
                <w:rFonts w:ascii="Poppins" w:hAnsi="Poppins" w:cs="Poppins"/>
                <w:i/>
                <w:iCs/>
                <w:lang w:val="en-GB"/>
              </w:rPr>
              <w:t xml:space="preserve">Età media della popolazione </w:t>
            </w:r>
            <w:r w:rsidRPr="008B346E">
              <w:rPr>
                <w:rFonts w:ascii="Poppins" w:hAnsi="Poppins" w:cs="Poppins"/>
                <w:lang w:val="en-GB"/>
              </w:rPr>
              <w:t xml:space="preserve">; A1.4 </w:t>
            </w:r>
            <w:r w:rsidRPr="008B346E">
              <w:rPr>
                <w:rFonts w:ascii="Poppins" w:hAnsi="Poppins" w:cs="Poppins"/>
                <w:i/>
                <w:iCs/>
                <w:lang w:val="en-GB"/>
              </w:rPr>
              <w:t xml:space="preserve">Qualità della vita </w:t>
            </w:r>
            <w:r w:rsidRPr="008B346E">
              <w:rPr>
                <w:rFonts w:ascii="Poppins" w:hAnsi="Poppins" w:cs="Poppins"/>
                <w:lang w:val="en-GB"/>
              </w:rPr>
              <w:t xml:space="preserve">; A1.2 </w:t>
            </w:r>
            <w:r w:rsidRPr="008B346E">
              <w:rPr>
                <w:rFonts w:ascii="Poppins" w:hAnsi="Poppins" w:cs="Poppins"/>
                <w:i/>
                <w:iCs/>
                <w:lang w:val="en-GB"/>
              </w:rPr>
              <w:t xml:space="preserve">Popolazione anziana (% popolazione totale) </w:t>
            </w:r>
            <w:r w:rsidRPr="008B346E">
              <w:rPr>
                <w:rFonts w:ascii="Poppins" w:hAnsi="Poppins" w:cs="Poppins"/>
                <w:lang w:val="en-GB"/>
              </w:rPr>
              <w:t xml:space="preserve">; A1.5 </w:t>
            </w:r>
            <w:r w:rsidRPr="008B346E">
              <w:rPr>
                <w:rFonts w:ascii="Poppins" w:hAnsi="Poppins" w:cs="Poppins"/>
                <w:i/>
                <w:iCs/>
                <w:lang w:val="en-GB"/>
              </w:rPr>
              <w:t xml:space="preserve">Aspettativa di vita superiore a 55 anni </w:t>
            </w:r>
            <w:r w:rsidRPr="008B346E">
              <w:rPr>
                <w:rFonts w:ascii="Poppins" w:hAnsi="Poppins" w:cs="Poppins"/>
                <w:lang w:val="en-GB"/>
              </w:rPr>
              <w:t xml:space="preserve">; A1.3 </w:t>
            </w:r>
            <w:r w:rsidRPr="008B346E">
              <w:rPr>
                <w:rFonts w:ascii="Poppins" w:hAnsi="Poppins" w:cs="Poppins"/>
                <w:i/>
                <w:iCs/>
                <w:lang w:val="en-GB"/>
              </w:rPr>
              <w:t xml:space="preserve">Aspettativa di vita </w:t>
            </w:r>
            <w:r w:rsidRPr="008B346E">
              <w:rPr>
                <w:rFonts w:ascii="Poppins" w:hAnsi="Poppins" w:cs="Poppins"/>
                <w:lang w:val="en-GB"/>
              </w:rPr>
              <w:t xml:space="preserve">; A1.6 </w:t>
            </w:r>
            <w:r w:rsidRPr="008B346E">
              <w:rPr>
                <w:rFonts w:ascii="Poppins" w:hAnsi="Poppins" w:cs="Poppins"/>
                <w:i/>
                <w:iCs/>
                <w:lang w:val="en-GB"/>
              </w:rPr>
              <w:t xml:space="preserve">Indice di dipendenza </w:t>
            </w:r>
            <w:r w:rsidRPr="008B346E">
              <w:rPr>
                <w:rFonts w:ascii="Poppins" w:hAnsi="Poppins" w:cs="Poppins"/>
                <w:lang w:val="en-GB"/>
              </w:rPr>
              <w:t xml:space="preserve">; Dimensione istituzionale (B): Salute e protezione sociale (B1): B1.1 </w:t>
            </w:r>
            <w:r w:rsidRPr="008B346E">
              <w:rPr>
                <w:rFonts w:ascii="Poppins" w:hAnsi="Poppins" w:cs="Poppins"/>
                <w:i/>
                <w:iCs/>
                <w:lang w:val="en-GB"/>
              </w:rPr>
              <w:t xml:space="preserve">Spesa sanitaria pro capite </w:t>
            </w:r>
            <w:r w:rsidRPr="008B346E">
              <w:rPr>
                <w:rFonts w:ascii="Poppins" w:hAnsi="Poppins" w:cs="Poppins"/>
                <w:lang w:val="en-GB"/>
              </w:rPr>
              <w:t xml:space="preserve">; B1.2 </w:t>
            </w:r>
            <w:r w:rsidRPr="008B346E">
              <w:rPr>
                <w:rFonts w:ascii="Poppins" w:hAnsi="Poppins" w:cs="Poppins"/>
                <w:i/>
                <w:iCs/>
                <w:lang w:val="en-GB"/>
              </w:rPr>
              <w:t xml:space="preserve">Spesa sanitaria pubblica </w:t>
            </w:r>
            <w:r w:rsidRPr="008B346E">
              <w:rPr>
                <w:rFonts w:ascii="Poppins" w:hAnsi="Poppins" w:cs="Poppins"/>
                <w:lang w:val="en-GB"/>
              </w:rPr>
              <w:t xml:space="preserve">; B1.3 </w:t>
            </w:r>
            <w:r w:rsidRPr="008B346E">
              <w:rPr>
                <w:rFonts w:ascii="Poppins" w:hAnsi="Poppins" w:cs="Poppins"/>
                <w:i/>
                <w:iCs/>
                <w:lang w:val="en-GB"/>
              </w:rPr>
              <w:t xml:space="preserve">Operatori sanitari </w:t>
            </w:r>
            <w:r w:rsidRPr="008B346E">
              <w:rPr>
                <w:rFonts w:ascii="Poppins" w:hAnsi="Poppins" w:cs="Poppins"/>
                <w:i/>
                <w:iCs/>
                <w:lang w:val="en-GB"/>
              </w:rPr>
              <w:lastRenderedPageBreak/>
              <w:t xml:space="preserve">e sociali (densità) </w:t>
            </w:r>
            <w:r w:rsidRPr="008B346E">
              <w:rPr>
                <w:rFonts w:ascii="Poppins" w:hAnsi="Poppins" w:cs="Poppins"/>
                <w:lang w:val="en-GB"/>
              </w:rPr>
              <w:t xml:space="preserve">; B1.4 </w:t>
            </w:r>
            <w:r w:rsidRPr="008B346E">
              <w:rPr>
                <w:rFonts w:ascii="Poppins" w:hAnsi="Poppins" w:cs="Poppins"/>
                <w:i/>
                <w:iCs/>
                <w:lang w:val="en-GB"/>
              </w:rPr>
              <w:t xml:space="preserve">Percentuale della spesa sanitaria finanziata dal governo </w:t>
            </w:r>
            <w:r w:rsidRPr="008B346E">
              <w:rPr>
                <w:rFonts w:ascii="Poppins" w:hAnsi="Poppins" w:cs="Poppins"/>
                <w:lang w:val="en-GB"/>
              </w:rPr>
              <w:t xml:space="preserve">; Pensioni e tutela del lavoro (B2): B2.1 </w:t>
            </w:r>
            <w:r w:rsidRPr="008B346E">
              <w:rPr>
                <w:rFonts w:ascii="Poppins" w:hAnsi="Poppins" w:cs="Poppins"/>
                <w:i/>
                <w:iCs/>
                <w:lang w:val="en-GB"/>
              </w:rPr>
              <w:t xml:space="preserve">Pensione media annua </w:t>
            </w:r>
            <w:r w:rsidRPr="008B346E">
              <w:rPr>
                <w:rFonts w:ascii="Poppins" w:hAnsi="Poppins" w:cs="Poppins"/>
                <w:lang w:val="en-GB"/>
              </w:rPr>
              <w:t xml:space="preserve">; B2.2 </w:t>
            </w:r>
            <w:r w:rsidRPr="008B346E">
              <w:rPr>
                <w:rFonts w:ascii="Poppins" w:hAnsi="Poppins" w:cs="Poppins"/>
                <w:i/>
                <w:iCs/>
                <w:lang w:val="en-GB"/>
              </w:rPr>
              <w:t xml:space="preserve">Numero di pensioni </w:t>
            </w:r>
            <w:r w:rsidRPr="008B346E">
              <w:rPr>
                <w:rFonts w:ascii="Poppins" w:hAnsi="Poppins" w:cs="Poppins"/>
                <w:lang w:val="en-GB"/>
              </w:rPr>
              <w:t xml:space="preserve">; B2.3 </w:t>
            </w:r>
            <w:r w:rsidRPr="008B346E">
              <w:rPr>
                <w:rFonts w:ascii="Poppins" w:hAnsi="Poppins" w:cs="Poppins"/>
                <w:i/>
                <w:iCs/>
                <w:lang w:val="en-GB"/>
              </w:rPr>
              <w:t xml:space="preserve">Tasso di sostituzione </w:t>
            </w:r>
            <w:r w:rsidRPr="008B346E">
              <w:rPr>
                <w:rFonts w:ascii="Poppins" w:hAnsi="Poppins" w:cs="Poppins"/>
                <w:lang w:val="en-GB"/>
              </w:rPr>
              <w:t xml:space="preserve">; B2.4 </w:t>
            </w:r>
            <w:r w:rsidRPr="008B346E">
              <w:rPr>
                <w:rFonts w:ascii="Poppins" w:hAnsi="Poppins" w:cs="Poppins"/>
                <w:i/>
                <w:iCs/>
                <w:lang w:val="en-GB"/>
              </w:rPr>
              <w:t xml:space="preserve">Età media pensionabile </w:t>
            </w:r>
            <w:r w:rsidRPr="008B346E">
              <w:rPr>
                <w:rFonts w:ascii="Poppins" w:hAnsi="Poppins" w:cs="Poppins"/>
                <w:lang w:val="en-GB"/>
              </w:rPr>
              <w:t xml:space="preserve">; B2.5 </w:t>
            </w:r>
            <w:r w:rsidRPr="008B346E">
              <w:rPr>
                <w:rFonts w:ascii="Poppins" w:hAnsi="Poppins" w:cs="Poppins"/>
                <w:i/>
                <w:iCs/>
                <w:lang w:val="en-GB"/>
              </w:rPr>
              <w:t xml:space="preserve">Durata della pensione </w:t>
            </w:r>
            <w:r w:rsidRPr="008B346E">
              <w:rPr>
                <w:rFonts w:ascii="Poppins" w:hAnsi="Poppins" w:cs="Poppins"/>
                <w:lang w:val="en-GB"/>
              </w:rPr>
              <w:t xml:space="preserve">; B2.6 </w:t>
            </w:r>
            <w:r w:rsidRPr="008B346E">
              <w:rPr>
                <w:rFonts w:ascii="Poppins" w:hAnsi="Poppins" w:cs="Poppins"/>
                <w:i/>
                <w:iCs/>
                <w:lang w:val="en-GB"/>
              </w:rPr>
              <w:t>Spesa per pensioni private</w:t>
            </w:r>
            <w:r w:rsidRPr="008B346E">
              <w:rPr>
                <w:rFonts w:ascii="Poppins" w:hAnsi="Poppins" w:cs="Poppins"/>
                <w:lang w:val="en-GB"/>
              </w:rPr>
              <w:t xml:space="preserve"> </w:t>
            </w:r>
            <w:r w:rsidRPr="008B346E">
              <w:rPr>
                <w:rFonts w:ascii="Poppins" w:hAnsi="Poppins" w:cs="Poppins"/>
                <w:i/>
                <w:iCs/>
                <w:lang w:val="en-GB"/>
              </w:rPr>
              <w:t xml:space="preserve">piani pensionistici individuali </w:t>
            </w:r>
            <w:r w:rsidRPr="008B346E">
              <w:rPr>
                <w:rFonts w:ascii="Poppins" w:hAnsi="Poppins" w:cs="Poppins"/>
                <w:lang w:val="en-GB"/>
              </w:rPr>
              <w:t xml:space="preserve">; B2.7 </w:t>
            </w:r>
            <w:r w:rsidRPr="008B346E">
              <w:rPr>
                <w:rFonts w:ascii="Poppins" w:hAnsi="Poppins" w:cs="Poppins"/>
                <w:i/>
                <w:iCs/>
                <w:lang w:val="en-GB"/>
              </w:rPr>
              <w:t xml:space="preserve">Spesa per piani pensionistici privati da parte delle aziende </w:t>
            </w:r>
            <w:r w:rsidRPr="008B346E">
              <w:rPr>
                <w:rFonts w:ascii="Poppins" w:hAnsi="Poppins" w:cs="Poppins"/>
                <w:lang w:val="en-GB"/>
              </w:rPr>
              <w:t xml:space="preserve">; B2.8 </w:t>
            </w:r>
            <w:r w:rsidRPr="008B346E">
              <w:rPr>
                <w:rFonts w:ascii="Poppins" w:hAnsi="Poppins" w:cs="Poppins"/>
                <w:i/>
                <w:iCs/>
                <w:lang w:val="en-GB"/>
              </w:rPr>
              <w:t xml:space="preserve">Rischio di povertà tra i pensionati </w:t>
            </w:r>
            <w:r w:rsidRPr="008B346E">
              <w:rPr>
                <w:rFonts w:ascii="Poppins" w:hAnsi="Poppins" w:cs="Poppins"/>
                <w:lang w:val="en-GB"/>
              </w:rPr>
              <w:t xml:space="preserve">; Dimensione macroeconomica (C): Mercato di beni e servizi - anziani (C1): C1.1 </w:t>
            </w:r>
            <w:r w:rsidRPr="008B346E">
              <w:rPr>
                <w:rFonts w:ascii="Poppins" w:hAnsi="Poppins" w:cs="Poppins"/>
                <w:i/>
                <w:iCs/>
                <w:lang w:val="en-GB"/>
              </w:rPr>
              <w:t xml:space="preserve">Spesa media per consumi </w:t>
            </w:r>
            <w:r w:rsidRPr="008B346E">
              <w:rPr>
                <w:rFonts w:ascii="Poppins" w:hAnsi="Poppins" w:cs="Poppins"/>
                <w:lang w:val="en-GB"/>
              </w:rPr>
              <w:t xml:space="preserve">; Mercato del lavoro - anziani (C2): C2.1 </w:t>
            </w:r>
            <w:r w:rsidRPr="008B346E">
              <w:rPr>
                <w:rFonts w:ascii="Poppins" w:hAnsi="Poppins" w:cs="Poppins"/>
                <w:i/>
                <w:iCs/>
                <w:lang w:val="en-GB"/>
              </w:rPr>
              <w:t xml:space="preserve">Durata della vita lavorativa </w:t>
            </w:r>
            <w:r w:rsidRPr="008B346E">
              <w:rPr>
                <w:rFonts w:ascii="Poppins" w:hAnsi="Poppins" w:cs="Poppins"/>
                <w:lang w:val="en-GB"/>
              </w:rPr>
              <w:t xml:space="preserve">; C2.2 </w:t>
            </w:r>
            <w:r w:rsidRPr="008B346E">
              <w:rPr>
                <w:rFonts w:ascii="Poppins" w:hAnsi="Poppins" w:cs="Poppins"/>
                <w:i/>
                <w:iCs/>
                <w:lang w:val="en-GB"/>
              </w:rPr>
              <w:t xml:space="preserve">Transizione lavorativa (rapporto) </w:t>
            </w:r>
            <w:r w:rsidRPr="008B346E">
              <w:rPr>
                <w:rFonts w:ascii="Poppins" w:hAnsi="Poppins" w:cs="Poppins"/>
                <w:lang w:val="en-GB"/>
              </w:rPr>
              <w:t xml:space="preserve">; C2.3 </w:t>
            </w:r>
            <w:r w:rsidRPr="008B346E">
              <w:rPr>
                <w:rFonts w:ascii="Poppins" w:hAnsi="Poppins" w:cs="Poppins"/>
                <w:i/>
                <w:iCs/>
                <w:lang w:val="en-GB"/>
              </w:rPr>
              <w:t xml:space="preserve">Lavoro da remoto degli anziani </w:t>
            </w:r>
            <w:r w:rsidRPr="008B346E">
              <w:rPr>
                <w:rFonts w:ascii="Poppins" w:hAnsi="Poppins" w:cs="Poppins"/>
                <w:lang w:val="en-GB"/>
              </w:rPr>
              <w:t xml:space="preserve">; C2.4 </w:t>
            </w:r>
            <w:r w:rsidRPr="008B346E">
              <w:rPr>
                <w:rFonts w:ascii="Poppins" w:hAnsi="Poppins" w:cs="Poppins"/>
                <w:i/>
                <w:iCs/>
                <w:lang w:val="en-GB"/>
              </w:rPr>
              <w:t xml:space="preserve">Tasso di occupazione degli anziani </w:t>
            </w:r>
            <w:r w:rsidRPr="008B346E">
              <w:rPr>
                <w:rFonts w:ascii="Poppins" w:hAnsi="Poppins" w:cs="Poppins"/>
                <w:lang w:val="en-GB"/>
              </w:rPr>
              <w:t xml:space="preserve">; C2.5 </w:t>
            </w:r>
            <w:r w:rsidRPr="008B346E">
              <w:rPr>
                <w:rFonts w:ascii="Poppins" w:hAnsi="Poppins" w:cs="Poppins"/>
                <w:i/>
                <w:iCs/>
                <w:lang w:val="en-GB"/>
              </w:rPr>
              <w:t xml:space="preserve">Lavoro autonomo degli anziani </w:t>
            </w:r>
            <w:r w:rsidRPr="008B346E">
              <w:rPr>
                <w:rFonts w:ascii="Poppins" w:hAnsi="Poppins" w:cs="Poppins"/>
                <w:lang w:val="en-GB"/>
              </w:rPr>
              <w:t xml:space="preserve">; Dimensione individuale (D): Partecipazione alla società (D1): D1.1 </w:t>
            </w:r>
            <w:r w:rsidRPr="008B346E">
              <w:rPr>
                <w:rFonts w:ascii="Poppins" w:hAnsi="Poppins" w:cs="Poppins"/>
                <w:i/>
                <w:iCs/>
                <w:lang w:val="en-GB"/>
              </w:rPr>
              <w:t xml:space="preserve">Impossibilità di stanziare piccole somme per le spese personali settimanali </w:t>
            </w:r>
            <w:r w:rsidRPr="008B346E">
              <w:rPr>
                <w:rFonts w:ascii="Poppins" w:hAnsi="Poppins" w:cs="Poppins"/>
                <w:lang w:val="en-GB"/>
              </w:rPr>
              <w:t xml:space="preserve">; D1.2 </w:t>
            </w:r>
            <w:r w:rsidRPr="008B346E">
              <w:rPr>
                <w:rFonts w:ascii="Poppins" w:hAnsi="Poppins" w:cs="Poppins"/>
                <w:i/>
                <w:iCs/>
                <w:lang w:val="en-GB"/>
              </w:rPr>
              <w:t xml:space="preserve">Impossibilità di partecipare regolarmente ad attività ricreative; </w:t>
            </w:r>
            <w:r w:rsidRPr="008B346E">
              <w:rPr>
                <w:rFonts w:ascii="Poppins" w:hAnsi="Poppins" w:cs="Poppins"/>
                <w:lang w:val="en-GB"/>
              </w:rPr>
              <w:t xml:space="preserve">D1.3 </w:t>
            </w:r>
            <w:r w:rsidRPr="008B346E">
              <w:rPr>
                <w:rFonts w:ascii="Poppins" w:hAnsi="Poppins" w:cs="Poppins"/>
                <w:i/>
                <w:iCs/>
                <w:lang w:val="en-GB"/>
              </w:rPr>
              <w:t xml:space="preserve">Impossibilità di incontrare familiari o amici in un hotel o in un ristorante almeno una volta al mese; </w:t>
            </w:r>
            <w:r w:rsidRPr="008B346E">
              <w:rPr>
                <w:rFonts w:ascii="Poppins" w:hAnsi="Poppins" w:cs="Poppins"/>
                <w:lang w:val="en-GB"/>
              </w:rPr>
              <w:t xml:space="preserve">D1.4 </w:t>
            </w:r>
            <w:r w:rsidRPr="008B346E">
              <w:rPr>
                <w:rFonts w:ascii="Poppins" w:hAnsi="Poppins" w:cs="Poppins"/>
                <w:i/>
                <w:iCs/>
                <w:lang w:val="en-GB"/>
              </w:rPr>
              <w:t xml:space="preserve">Disuguaglianza di reddito (rapporto 80-20) </w:t>
            </w:r>
            <w:r w:rsidRPr="008B346E">
              <w:rPr>
                <w:rFonts w:ascii="Poppins" w:hAnsi="Poppins" w:cs="Poppins"/>
                <w:lang w:val="en-GB"/>
              </w:rPr>
              <w:t xml:space="preserve">; D1.5 </w:t>
            </w:r>
            <w:r w:rsidRPr="008B346E">
              <w:rPr>
                <w:rFonts w:ascii="Poppins" w:hAnsi="Poppins" w:cs="Poppins"/>
                <w:i/>
                <w:iCs/>
                <w:lang w:val="en-GB"/>
              </w:rPr>
              <w:t xml:space="preserve">Nessuna connessione Internet per uso personale </w:t>
            </w:r>
            <w:r w:rsidRPr="008B346E">
              <w:rPr>
                <w:rFonts w:ascii="Poppins" w:hAnsi="Poppins" w:cs="Poppins"/>
                <w:lang w:val="en-GB"/>
              </w:rPr>
              <w:t xml:space="preserve">; D1.6 </w:t>
            </w:r>
            <w:r w:rsidRPr="008B346E">
              <w:rPr>
                <w:rFonts w:ascii="Poppins" w:hAnsi="Poppins" w:cs="Poppins"/>
                <w:i/>
                <w:iCs/>
                <w:lang w:val="en-GB"/>
              </w:rPr>
              <w:t xml:space="preserve">Vita indipendente e autonoma (1 anziano </w:t>
            </w:r>
            <w:r w:rsidRPr="008B346E">
              <w:rPr>
                <w:rFonts w:ascii="Poppins" w:hAnsi="Poppins" w:cs="Poppins"/>
                <w:lang w:val="en-GB"/>
              </w:rPr>
              <w:t xml:space="preserve">); D1.7 </w:t>
            </w:r>
            <w:r w:rsidRPr="008B346E">
              <w:rPr>
                <w:rFonts w:ascii="Poppins" w:hAnsi="Poppins" w:cs="Poppins"/>
                <w:i/>
                <w:iCs/>
                <w:lang w:val="en-GB"/>
              </w:rPr>
              <w:t xml:space="preserve">Vita indipendente e autonoma (2 o più anziani); </w:t>
            </w:r>
            <w:r w:rsidRPr="008B346E">
              <w:rPr>
                <w:rFonts w:ascii="Poppins" w:hAnsi="Poppins" w:cs="Poppins"/>
                <w:lang w:val="en-GB"/>
              </w:rPr>
              <w:t xml:space="preserve">D1.8 </w:t>
            </w:r>
            <w:r w:rsidRPr="008B346E">
              <w:rPr>
                <w:rFonts w:ascii="Poppins" w:hAnsi="Poppins" w:cs="Poppins"/>
                <w:i/>
                <w:iCs/>
                <w:lang w:val="en-GB"/>
              </w:rPr>
              <w:t xml:space="preserve">Apprendimento permanente </w:t>
            </w:r>
            <w:r w:rsidRPr="008B346E">
              <w:rPr>
                <w:rFonts w:ascii="Poppins" w:hAnsi="Poppins" w:cs="Poppins"/>
                <w:lang w:val="en-GB"/>
              </w:rPr>
              <w:t xml:space="preserve">; D1.9 </w:t>
            </w:r>
            <w:r w:rsidRPr="008B346E">
              <w:rPr>
                <w:rFonts w:ascii="Poppins" w:hAnsi="Poppins" w:cs="Poppins"/>
                <w:i/>
                <w:iCs/>
                <w:lang w:val="en-GB"/>
              </w:rPr>
              <w:t xml:space="preserve">Competenze tecnologiche; </w:t>
            </w:r>
            <w:r w:rsidRPr="008B346E">
              <w:rPr>
                <w:rFonts w:ascii="Poppins" w:hAnsi="Poppins" w:cs="Poppins"/>
                <w:lang w:val="en-GB"/>
              </w:rPr>
              <w:t xml:space="preserve">Sicurezza finanziaria (D2): D2.1 </w:t>
            </w:r>
            <w:r w:rsidRPr="008B346E">
              <w:rPr>
                <w:rFonts w:ascii="Poppins" w:hAnsi="Poppins" w:cs="Poppins"/>
                <w:i/>
                <w:iCs/>
                <w:lang w:val="en-GB"/>
              </w:rPr>
              <w:t xml:space="preserve">Reddito medio relativo </w:t>
            </w:r>
            <w:r w:rsidRPr="008B346E">
              <w:rPr>
                <w:rFonts w:ascii="Poppins" w:hAnsi="Poppins" w:cs="Poppins"/>
                <w:lang w:val="en-GB"/>
              </w:rPr>
              <w:t xml:space="preserve">; D2.2 </w:t>
            </w:r>
            <w:r w:rsidRPr="008B346E">
              <w:rPr>
                <w:rFonts w:ascii="Poppins" w:hAnsi="Poppins" w:cs="Poppins"/>
                <w:i/>
                <w:iCs/>
                <w:lang w:val="en-GB"/>
              </w:rPr>
              <w:t xml:space="preserve">Assenza di rischio di povertà </w:t>
            </w:r>
            <w:r w:rsidRPr="008B346E">
              <w:rPr>
                <w:rFonts w:ascii="Poppins" w:hAnsi="Poppins" w:cs="Poppins"/>
                <w:lang w:val="en-GB"/>
              </w:rPr>
              <w:t xml:space="preserve">; D2.3 </w:t>
            </w:r>
            <w:r w:rsidRPr="008B346E">
              <w:rPr>
                <w:rFonts w:ascii="Poppins" w:hAnsi="Poppins" w:cs="Poppins"/>
                <w:i/>
                <w:iCs/>
                <w:lang w:val="en-GB"/>
              </w:rPr>
              <w:t xml:space="preserve">Assenza di grave deprivazione materiale </w:t>
            </w:r>
            <w:r w:rsidRPr="008B346E">
              <w:rPr>
                <w:rFonts w:ascii="Poppins" w:hAnsi="Poppins" w:cs="Poppins"/>
                <w:lang w:val="en-GB"/>
              </w:rPr>
              <w:t xml:space="preserve">; D2.4 </w:t>
            </w:r>
            <w:r w:rsidRPr="008B346E">
              <w:rPr>
                <w:rFonts w:ascii="Poppins" w:hAnsi="Poppins" w:cs="Poppins"/>
                <w:i/>
                <w:iCs/>
                <w:lang w:val="en-GB"/>
              </w:rPr>
              <w:t xml:space="preserve">Assenza di povertà energetica (famiglie: 1 anziano) </w:t>
            </w:r>
            <w:r w:rsidRPr="008B346E">
              <w:rPr>
                <w:rFonts w:ascii="Poppins" w:hAnsi="Poppins" w:cs="Poppins"/>
                <w:lang w:val="en-GB"/>
              </w:rPr>
              <w:t xml:space="preserve">; D2.5 </w:t>
            </w:r>
            <w:r w:rsidRPr="008B346E">
              <w:rPr>
                <w:rFonts w:ascii="Poppins" w:hAnsi="Poppins" w:cs="Poppins"/>
                <w:i/>
                <w:iCs/>
                <w:lang w:val="en-GB"/>
              </w:rPr>
              <w:t xml:space="preserve">Assenza di povertà energetica (famiglie: 2 adulti e almeno 1 anziano) </w:t>
            </w:r>
            <w:r w:rsidRPr="008B346E">
              <w:rPr>
                <w:rFonts w:ascii="Poppins" w:hAnsi="Poppins" w:cs="Poppins"/>
                <w:lang w:val="en-GB"/>
              </w:rPr>
              <w:t xml:space="preserve">; D2.6 </w:t>
            </w:r>
            <w:r w:rsidRPr="008B346E">
              <w:rPr>
                <w:rFonts w:ascii="Poppins" w:hAnsi="Poppins" w:cs="Poppins"/>
                <w:i/>
                <w:iCs/>
                <w:lang w:val="en-GB"/>
              </w:rPr>
              <w:t xml:space="preserve">Lavoratori anziani a rischio di povertà </w:t>
            </w:r>
            <w:r w:rsidRPr="008B346E">
              <w:rPr>
                <w:rFonts w:ascii="Poppins" w:hAnsi="Poppins" w:cs="Poppins"/>
                <w:lang w:val="en-GB"/>
              </w:rPr>
              <w:t xml:space="preserve">; D2.7 </w:t>
            </w:r>
            <w:r w:rsidRPr="008B346E">
              <w:rPr>
                <w:rFonts w:ascii="Poppins" w:hAnsi="Poppins" w:cs="Poppins"/>
                <w:i/>
                <w:iCs/>
                <w:lang w:val="en-GB"/>
              </w:rPr>
              <w:t xml:space="preserve">Impossibilità di far fronte a spese finanziarie impreviste (famiglie: 1 anziano) </w:t>
            </w:r>
            <w:r w:rsidRPr="008B346E">
              <w:rPr>
                <w:rFonts w:ascii="Poppins" w:hAnsi="Poppins" w:cs="Poppins"/>
                <w:lang w:val="en-GB"/>
              </w:rPr>
              <w:t xml:space="preserve">; D2.8 </w:t>
            </w:r>
            <w:r w:rsidRPr="008B346E">
              <w:rPr>
                <w:rFonts w:ascii="Poppins" w:hAnsi="Poppins" w:cs="Poppins"/>
                <w:i/>
                <w:iCs/>
                <w:lang w:val="en-GB"/>
              </w:rPr>
              <w:t xml:space="preserve">Impossibilità di far fronte a spese finanziarie impreviste (famiglie: 2 adulti e almeno 1 anziano) </w:t>
            </w:r>
            <w:r w:rsidRPr="008B346E">
              <w:rPr>
                <w:rFonts w:ascii="Poppins" w:hAnsi="Poppins" w:cs="Poppins"/>
                <w:lang w:val="en-GB"/>
              </w:rPr>
              <w:t xml:space="preserve">; D2.9 </w:t>
            </w:r>
            <w:r w:rsidRPr="008B346E">
              <w:rPr>
                <w:rFonts w:ascii="Poppins" w:hAnsi="Poppins" w:cs="Poppins"/>
                <w:i/>
                <w:iCs/>
                <w:lang w:val="en-GB"/>
              </w:rPr>
              <w:t xml:space="preserve">Rapporto tra costo dell'alloggio e reddito disponibile (famiglie: 1 anziano) </w:t>
            </w:r>
            <w:r w:rsidRPr="008B346E">
              <w:rPr>
                <w:rFonts w:ascii="Poppins" w:hAnsi="Poppins" w:cs="Poppins"/>
                <w:lang w:val="en-GB"/>
              </w:rPr>
              <w:t xml:space="preserve">; D2.10 </w:t>
            </w:r>
            <w:r w:rsidRPr="008B346E">
              <w:rPr>
                <w:rFonts w:ascii="Poppins" w:hAnsi="Poppins" w:cs="Poppins"/>
                <w:i/>
                <w:iCs/>
                <w:lang w:val="en-GB"/>
              </w:rPr>
              <w:t xml:space="preserve">Rapporto tra costo dell'alloggio e reddito disponibile (famiglie: 2 adulti e almeno 1 anziano); </w:t>
            </w:r>
            <w:r w:rsidRPr="008B346E">
              <w:rPr>
                <w:rFonts w:ascii="Poppins" w:hAnsi="Poppins" w:cs="Poppins"/>
                <w:lang w:val="en-GB"/>
              </w:rPr>
              <w:t xml:space="preserve">D2.11 </w:t>
            </w:r>
            <w:r w:rsidRPr="008B346E">
              <w:rPr>
                <w:rFonts w:ascii="Poppins" w:hAnsi="Poppins" w:cs="Poppins"/>
                <w:i/>
                <w:iCs/>
                <w:lang w:val="en-GB"/>
              </w:rPr>
              <w:t xml:space="preserve">Indebitamento per la residenza principale </w:t>
            </w:r>
            <w:r w:rsidRPr="008B346E">
              <w:rPr>
                <w:rFonts w:ascii="Poppins" w:hAnsi="Poppins" w:cs="Poppins"/>
                <w:lang w:val="en-GB"/>
              </w:rPr>
              <w:t xml:space="preserve">; D2.12 </w:t>
            </w:r>
            <w:r w:rsidRPr="008B346E">
              <w:rPr>
                <w:rFonts w:ascii="Poppins" w:hAnsi="Poppins" w:cs="Poppins"/>
                <w:i/>
                <w:iCs/>
                <w:lang w:val="en-GB"/>
              </w:rPr>
              <w:t xml:space="preserve">Percentuale di proprietà dell'abitazione (famiglie: 1 anziano) </w:t>
            </w:r>
            <w:r w:rsidRPr="008B346E">
              <w:rPr>
                <w:rFonts w:ascii="Poppins" w:hAnsi="Poppins" w:cs="Poppins"/>
                <w:lang w:val="en-GB"/>
              </w:rPr>
              <w:t xml:space="preserve">; D2.13 </w:t>
            </w:r>
            <w:r w:rsidRPr="008B346E">
              <w:rPr>
                <w:rFonts w:ascii="Poppins" w:hAnsi="Poppins" w:cs="Poppins"/>
                <w:i/>
                <w:iCs/>
                <w:lang w:val="en-GB"/>
              </w:rPr>
              <w:t xml:space="preserve">Percentuale di proprietà dell'abitazione (famiglie: 2 adulti e almeno 1 anziano); </w:t>
            </w:r>
            <w:r w:rsidRPr="008B346E">
              <w:rPr>
                <w:rFonts w:ascii="Poppins" w:hAnsi="Poppins" w:cs="Poppins"/>
                <w:lang w:val="en-GB"/>
              </w:rPr>
              <w:t xml:space="preserve">Invecchiamento sano e attivo (D3): D3.1 </w:t>
            </w:r>
            <w:r w:rsidRPr="008B346E">
              <w:rPr>
                <w:rFonts w:ascii="Poppins" w:hAnsi="Poppins" w:cs="Poppins"/>
                <w:i/>
                <w:iCs/>
                <w:lang w:val="en-GB"/>
              </w:rPr>
              <w:t xml:space="preserve">Accesso ai servizi sanitari </w:t>
            </w:r>
            <w:r w:rsidRPr="008B346E">
              <w:rPr>
                <w:rFonts w:ascii="Poppins" w:hAnsi="Poppins" w:cs="Poppins"/>
                <w:lang w:val="en-GB"/>
              </w:rPr>
              <w:t xml:space="preserve">; D3.2 </w:t>
            </w:r>
            <w:r w:rsidRPr="008B346E">
              <w:rPr>
                <w:rFonts w:ascii="Poppins" w:hAnsi="Poppins" w:cs="Poppins"/>
                <w:i/>
                <w:iCs/>
                <w:lang w:val="en-GB"/>
              </w:rPr>
              <w:t xml:space="preserve">Stato di salute autopercepito (molto buono o buono); </w:t>
            </w:r>
            <w:r w:rsidRPr="008B346E">
              <w:rPr>
                <w:rFonts w:ascii="Poppins" w:hAnsi="Poppins" w:cs="Poppins"/>
                <w:lang w:val="en-GB"/>
              </w:rPr>
              <w:t xml:space="preserve">D3.3 </w:t>
            </w:r>
            <w:r w:rsidRPr="008B346E">
              <w:rPr>
                <w:rFonts w:ascii="Poppins" w:hAnsi="Poppins" w:cs="Poppins"/>
                <w:i/>
                <w:iCs/>
                <w:lang w:val="en-GB"/>
              </w:rPr>
              <w:t xml:space="preserve">Persone con malattie o problemi di salute di lunga durata </w:t>
            </w:r>
            <w:r w:rsidRPr="008B346E">
              <w:rPr>
                <w:rFonts w:ascii="Poppins" w:hAnsi="Poppins" w:cs="Poppins"/>
                <w:lang w:val="en-GB"/>
              </w:rPr>
              <w:t xml:space="preserve">; D3.4 </w:t>
            </w:r>
            <w:r w:rsidRPr="008B346E">
              <w:rPr>
                <w:rFonts w:ascii="Poppins" w:hAnsi="Poppins" w:cs="Poppins"/>
                <w:i/>
                <w:iCs/>
                <w:lang w:val="en-GB"/>
              </w:rPr>
              <w:t xml:space="preserve">Assenza di limitazioni nelle attività quotidiane percepita a causa di problemi di salute </w:t>
            </w:r>
            <w:r w:rsidRPr="008B346E">
              <w:rPr>
                <w:rFonts w:ascii="Poppins" w:hAnsi="Poppins" w:cs="Poppins"/>
                <w:lang w:val="en-GB"/>
              </w:rPr>
              <w:t xml:space="preserve">; D3.5 </w:t>
            </w:r>
            <w:r w:rsidRPr="008B346E">
              <w:rPr>
                <w:rFonts w:ascii="Poppins" w:hAnsi="Poppins" w:cs="Poppins"/>
                <w:i/>
                <w:iCs/>
                <w:lang w:val="en-GB"/>
              </w:rPr>
              <w:t xml:space="preserve">Assenza di mancanza di assistenza medica percepita </w:t>
            </w:r>
            <w:r w:rsidRPr="008B346E">
              <w:rPr>
                <w:rFonts w:ascii="Poppins" w:hAnsi="Poppins" w:cs="Poppins"/>
                <w:lang w:val="en-GB"/>
              </w:rPr>
              <w:t xml:space="preserve">; D3.6 </w:t>
            </w:r>
            <w:r w:rsidRPr="008B346E">
              <w:rPr>
                <w:rFonts w:ascii="Poppins" w:hAnsi="Poppins" w:cs="Poppins"/>
                <w:i/>
                <w:iCs/>
                <w:lang w:val="en-GB"/>
              </w:rPr>
              <w:t xml:space="preserve">Aspettativa di vita in buona salute a 65 anni </w:t>
            </w:r>
            <w:r w:rsidRPr="008B346E">
              <w:rPr>
                <w:rFonts w:ascii="Poppins" w:hAnsi="Poppins" w:cs="Poppins"/>
                <w:lang w:val="en-GB"/>
              </w:rPr>
              <w:t xml:space="preserve">; D3.7 </w:t>
            </w:r>
            <w:r w:rsidRPr="008B346E">
              <w:rPr>
                <w:rFonts w:ascii="Poppins" w:hAnsi="Poppins" w:cs="Poppins"/>
                <w:i/>
                <w:iCs/>
                <w:lang w:val="en-GB"/>
              </w:rPr>
              <w:t>Decessi prematuri dovuti all'esposizione al particolato fine.</w:t>
            </w:r>
          </w:p>
        </w:tc>
      </w:tr>
      <w:tr w:rsidR="00476F02" w:rsidRPr="008B346E" w14:paraId="25B8B8E6" w14:textId="77777777" w:rsidTr="00B74592">
        <w:tc>
          <w:tcPr>
            <w:tcW w:w="9016" w:type="dxa"/>
          </w:tcPr>
          <w:p w14:paraId="6CBB9548" w14:textId="6967BAB0" w:rsidR="00476F02" w:rsidRPr="008B346E" w:rsidRDefault="00476F02" w:rsidP="00B74592">
            <w:pPr>
              <w:jc w:val="both"/>
              <w:rPr>
                <w:rFonts w:ascii="Poppins" w:hAnsi="Poppins" w:cs="Poppins"/>
                <w:color w:val="000000"/>
                <w:lang w:val="en-GB"/>
              </w:rPr>
            </w:pPr>
            <w:r w:rsidRPr="008B346E">
              <w:rPr>
                <w:rFonts w:ascii="Poppins" w:hAnsi="Poppins" w:cs="Poppins"/>
                <w:b/>
                <w:bCs/>
                <w:color w:val="000000"/>
                <w:lang w:val="en-GB"/>
              </w:rPr>
              <w:lastRenderedPageBreak/>
              <w:t xml:space="preserve">Fonte: </w:t>
            </w:r>
            <w:r w:rsidRPr="008B346E">
              <w:rPr>
                <w:rFonts w:ascii="Poppins" w:hAnsi="Poppins" w:cs="Poppins"/>
                <w:color w:val="000000"/>
                <w:lang w:val="en-GB"/>
              </w:rPr>
              <w:t xml:space="preserve">Roszko-Wójtowicz, E., Przybysz, K., &amp; Stanimir, A. (2024). Differenze nel tenore di vita degli anziani e il loro impatto sullo sviluppo della silver economy in Europa. </w:t>
            </w:r>
            <w:r w:rsidRPr="008B346E">
              <w:rPr>
                <w:rFonts w:ascii="Poppins" w:hAnsi="Poppins" w:cs="Poppins"/>
                <w:i/>
                <w:iCs/>
                <w:color w:val="000000"/>
                <w:lang w:val="en-GB"/>
              </w:rPr>
              <w:t>Bulletin of Geography. Socio-Economic Series</w:t>
            </w:r>
            <w:r w:rsidRPr="008B346E">
              <w:rPr>
                <w:rFonts w:ascii="Poppins" w:hAnsi="Poppins" w:cs="Poppins"/>
                <w:color w:val="000000"/>
                <w:lang w:val="en-GB"/>
              </w:rPr>
              <w:t>, 66, 57–72. https://doi.org/10.12775/bgss-2024-0033</w:t>
            </w:r>
          </w:p>
          <w:p w14:paraId="735AE18A" w14:textId="77777777" w:rsidR="00476F02" w:rsidRPr="008B346E" w:rsidRDefault="00476F02" w:rsidP="00B74592">
            <w:pPr>
              <w:jc w:val="both"/>
              <w:rPr>
                <w:rFonts w:ascii="Poppins" w:hAnsi="Poppins" w:cs="Poppins"/>
                <w:color w:val="000000"/>
                <w:lang w:val="en-GB"/>
              </w:rPr>
            </w:pPr>
          </w:p>
          <w:p w14:paraId="008B6B0A" w14:textId="77777777" w:rsidR="00476F02" w:rsidRPr="008B346E" w:rsidRDefault="00476F02" w:rsidP="00B74592">
            <w:pPr>
              <w:jc w:val="both"/>
              <w:rPr>
                <w:rFonts w:ascii="Poppins" w:hAnsi="Poppins" w:cs="Poppins"/>
                <w:color w:val="000000"/>
                <w:lang w:val="en-GB"/>
              </w:rPr>
            </w:pPr>
            <w:r w:rsidRPr="008B346E">
              <w:rPr>
                <w:rFonts w:ascii="Poppins" w:hAnsi="Poppins" w:cs="Poppins"/>
                <w:b/>
                <w:bCs/>
                <w:color w:val="000000"/>
                <w:lang w:val="en-GB"/>
              </w:rPr>
              <w:t>Astratto:</w:t>
            </w:r>
            <w:r w:rsidRPr="008B346E">
              <w:rPr>
                <w:rFonts w:ascii="Poppins" w:hAnsi="Poppins" w:cs="Poppins"/>
                <w:lang w:val="en-GB"/>
              </w:rPr>
              <w:t xml:space="preserve"> </w:t>
            </w:r>
            <w:r w:rsidRPr="008B346E">
              <w:rPr>
                <w:rFonts w:ascii="Poppins" w:hAnsi="Poppins" w:cs="Poppins"/>
                <w:color w:val="000000"/>
                <w:lang w:val="en-GB"/>
              </w:rPr>
              <w:t>Soddisfare le diverse esigenze degli anziani, un gruppo in rapida crescita in tutta l'UE, rappresenta una sfida per la silver economy. L' eterogeneità di questo gruppo sociale deriva sia dalle trasformazioni sociali, come l'aumento dell'istruzione e della sicurezza finanziaria, sia dalle variazioni territoriali del tenore di vita degli anziani. Questo articolo esplora come questi fattori influenzino le traiettorie di sviluppo della silver economy. Evidenzia che l'evoluzione della silver economy sarà specifica per regione piuttosto che uniforme, guidata dalle significative differenze nelle condizioni di vita degli anziani in tutta Europa. Attraverso l'analisi dei cluster, vengono identificati diversi segmenti di mercato, che portano a raccomandazioni personalizzate per le strategie della silver economy. Queste raccomandazioni affrontano le diverse esigenze degli anziani scandinavi, occidentali e dell'Europa orientale, sottolineando la necessità di approcci specifici per regione per promuovere uno sviluppo efficace della silver economy.</w:t>
            </w:r>
          </w:p>
          <w:p w14:paraId="7F961481" w14:textId="77777777" w:rsidR="00476F02" w:rsidRPr="008B346E" w:rsidRDefault="00476F02" w:rsidP="00B74592">
            <w:pPr>
              <w:jc w:val="both"/>
              <w:rPr>
                <w:rFonts w:ascii="Poppins" w:hAnsi="Poppins" w:cs="Poppins"/>
                <w:color w:val="000000"/>
                <w:lang w:val="en-GB"/>
              </w:rPr>
            </w:pPr>
          </w:p>
          <w:p w14:paraId="3B9D89B5" w14:textId="5D2A8A1B" w:rsidR="00476F02" w:rsidRPr="008B346E" w:rsidRDefault="00476F02" w:rsidP="00B74592">
            <w:pPr>
              <w:jc w:val="both"/>
              <w:rPr>
                <w:rFonts w:ascii="Poppins" w:hAnsi="Poppins" w:cs="Poppins"/>
                <w:color w:val="000000"/>
                <w:lang w:val="en-GB"/>
              </w:rPr>
            </w:pPr>
            <w:r w:rsidRPr="008B346E">
              <w:rPr>
                <w:rFonts w:ascii="Poppins" w:hAnsi="Poppins" w:cs="Poppins"/>
                <w:b/>
                <w:bCs/>
                <w:color w:val="000000"/>
                <w:lang w:val="en-GB"/>
              </w:rPr>
              <w:t xml:space="preserve">Indicatori: </w:t>
            </w:r>
            <w:r w:rsidRPr="008B346E">
              <w:rPr>
                <w:rFonts w:ascii="Poppins" w:hAnsi="Poppins" w:cs="Poppins"/>
                <w:color w:val="000000"/>
                <w:lang w:val="en-GB"/>
              </w:rPr>
              <w:t xml:space="preserve">Salute: 1) </w:t>
            </w:r>
            <w:r w:rsidRPr="008B346E">
              <w:rPr>
                <w:rFonts w:ascii="Poppins" w:hAnsi="Poppins" w:cs="Poppins"/>
                <w:i/>
                <w:iCs/>
                <w:color w:val="000000"/>
                <w:lang w:val="en-GB"/>
              </w:rPr>
              <w:t xml:space="preserve">Anni di vita in buona salute all'età di 65 anni per le donne </w:t>
            </w:r>
            <w:r w:rsidRPr="008B346E">
              <w:rPr>
                <w:rFonts w:ascii="Poppins" w:hAnsi="Poppins" w:cs="Poppins"/>
                <w:color w:val="000000"/>
                <w:lang w:val="en-GB"/>
              </w:rPr>
              <w:t xml:space="preserve">; 2) </w:t>
            </w:r>
            <w:r w:rsidRPr="008B346E">
              <w:rPr>
                <w:rFonts w:ascii="Poppins" w:hAnsi="Poppins" w:cs="Poppins"/>
                <w:i/>
                <w:iCs/>
                <w:color w:val="000000"/>
                <w:lang w:val="en-GB"/>
              </w:rPr>
              <w:t xml:space="preserve">Anni di vita in buona salute all'età di 65 anni per gli uomini; </w:t>
            </w:r>
            <w:r w:rsidRPr="008B346E">
              <w:rPr>
                <w:rFonts w:ascii="Poppins" w:hAnsi="Poppins" w:cs="Poppins"/>
                <w:color w:val="000000"/>
                <w:lang w:val="en-GB"/>
              </w:rPr>
              <w:t xml:space="preserve">3) </w:t>
            </w:r>
            <w:r w:rsidRPr="008B346E">
              <w:rPr>
                <w:rFonts w:ascii="Poppins" w:hAnsi="Poppins" w:cs="Poppins"/>
                <w:i/>
                <w:iCs/>
                <w:color w:val="000000"/>
                <w:lang w:val="en-GB"/>
              </w:rPr>
              <w:t>Salute valutata come buona o molto buona</w:t>
            </w:r>
            <w:r w:rsidRPr="008B346E">
              <w:rPr>
                <w:rFonts w:ascii="Poppins" w:hAnsi="Poppins" w:cs="Poppins"/>
                <w:color w:val="000000"/>
                <w:lang w:val="en-GB"/>
              </w:rPr>
              <w:t xml:space="preserve">; 4) </w:t>
            </w:r>
            <w:r w:rsidRPr="008B346E">
              <w:rPr>
                <w:rFonts w:ascii="Poppins" w:hAnsi="Poppins" w:cs="Poppins"/>
                <w:i/>
                <w:iCs/>
                <w:color w:val="000000"/>
                <w:lang w:val="en-GB"/>
              </w:rPr>
              <w:t xml:space="preserve">Bisogni insoddisfatti di visite mediche auto-riferiti; </w:t>
            </w:r>
            <w:r w:rsidRPr="008B346E">
              <w:rPr>
                <w:rFonts w:ascii="Poppins" w:hAnsi="Poppins" w:cs="Poppins"/>
                <w:color w:val="000000"/>
                <w:lang w:val="en-GB"/>
              </w:rPr>
              <w:t xml:space="preserve">5) </w:t>
            </w:r>
            <w:r w:rsidRPr="008B346E">
              <w:rPr>
                <w:rFonts w:ascii="Poppins" w:hAnsi="Poppins" w:cs="Poppins"/>
                <w:i/>
                <w:iCs/>
                <w:color w:val="000000"/>
                <w:lang w:val="en-GB"/>
              </w:rPr>
              <w:t>Aspettativa di vita prevista per il 2030 per le donne</w:t>
            </w:r>
            <w:r w:rsidRPr="008B346E">
              <w:rPr>
                <w:rFonts w:ascii="Poppins" w:hAnsi="Poppins" w:cs="Poppins"/>
                <w:color w:val="000000"/>
                <w:lang w:val="en-GB"/>
              </w:rPr>
              <w:t xml:space="preserve">; 6) </w:t>
            </w:r>
            <w:r w:rsidRPr="008B346E">
              <w:rPr>
                <w:rFonts w:ascii="Poppins" w:hAnsi="Poppins" w:cs="Poppins"/>
                <w:i/>
                <w:iCs/>
                <w:color w:val="000000"/>
                <w:lang w:val="en-GB"/>
              </w:rPr>
              <w:t xml:space="preserve">Aspettativa di vita prevista per il 2030 per gli uomini </w:t>
            </w:r>
            <w:r w:rsidRPr="008B346E">
              <w:rPr>
                <w:rFonts w:ascii="Poppins" w:hAnsi="Poppins" w:cs="Poppins"/>
                <w:color w:val="000000"/>
                <w:lang w:val="en-GB"/>
              </w:rPr>
              <w:t xml:space="preserve">. Finanze: 1) </w:t>
            </w:r>
            <w:r w:rsidRPr="008B346E">
              <w:rPr>
                <w:rFonts w:ascii="Poppins" w:hAnsi="Poppins" w:cs="Poppins"/>
                <w:i/>
                <w:iCs/>
                <w:color w:val="000000"/>
                <w:lang w:val="en-GB"/>
              </w:rPr>
              <w:t xml:space="preserve">Eccessivo onere delle spese abitative; </w:t>
            </w:r>
            <w:r w:rsidRPr="008B346E">
              <w:rPr>
                <w:rFonts w:ascii="Poppins" w:hAnsi="Poppins" w:cs="Poppins"/>
                <w:color w:val="000000"/>
                <w:lang w:val="en-GB"/>
              </w:rPr>
              <w:t xml:space="preserve">2) </w:t>
            </w:r>
            <w:r w:rsidRPr="008B346E">
              <w:rPr>
                <w:rFonts w:ascii="Poppins" w:hAnsi="Poppins" w:cs="Poppins"/>
                <w:i/>
                <w:iCs/>
                <w:color w:val="000000"/>
                <w:lang w:val="en-GB"/>
              </w:rPr>
              <w:t>Incapacità di arrivare a fine mese</w:t>
            </w:r>
            <w:r w:rsidRPr="008B346E">
              <w:rPr>
                <w:rFonts w:ascii="Poppins" w:hAnsi="Poppins" w:cs="Poppins"/>
                <w:color w:val="000000"/>
                <w:lang w:val="en-GB"/>
              </w:rPr>
              <w:t xml:space="preserve">; 3) </w:t>
            </w:r>
            <w:r w:rsidRPr="008B346E">
              <w:rPr>
                <w:rFonts w:ascii="Poppins" w:hAnsi="Poppins" w:cs="Poppins"/>
                <w:i/>
                <w:iCs/>
                <w:color w:val="000000"/>
                <w:lang w:val="en-GB"/>
              </w:rPr>
              <w:t xml:space="preserve">Reddito netto mediano tra i 60+; </w:t>
            </w:r>
            <w:r w:rsidRPr="008B346E">
              <w:rPr>
                <w:rFonts w:ascii="Poppins" w:hAnsi="Poppins" w:cs="Poppins"/>
                <w:color w:val="000000"/>
                <w:lang w:val="en-GB"/>
              </w:rPr>
              <w:t xml:space="preserve">4) </w:t>
            </w:r>
            <w:r w:rsidRPr="008B346E">
              <w:rPr>
                <w:rFonts w:ascii="Poppins" w:hAnsi="Poppins" w:cs="Poppins"/>
                <w:i/>
                <w:iCs/>
                <w:color w:val="000000"/>
                <w:lang w:val="en-GB"/>
              </w:rPr>
              <w:t xml:space="preserve">Incapacità di affrontare spese finanziarie </w:t>
            </w:r>
            <w:r w:rsidR="00EA7716" w:rsidRPr="008B346E">
              <w:rPr>
                <w:rFonts w:ascii="Poppins" w:hAnsi="Poppins" w:cs="Poppins"/>
                <w:i/>
                <w:iCs/>
                <w:color w:val="000000"/>
                <w:lang w:val="en-GB"/>
              </w:rPr>
              <w:t>impreviste.</w:t>
            </w:r>
            <w:r w:rsidRPr="008B346E">
              <w:rPr>
                <w:rFonts w:ascii="Poppins" w:hAnsi="Poppins" w:cs="Poppins"/>
                <w:color w:val="000000"/>
                <w:lang w:val="en-GB"/>
              </w:rPr>
              <w:t xml:space="preserve"> Relazioni: 1) </w:t>
            </w:r>
            <w:r w:rsidRPr="008B346E">
              <w:rPr>
                <w:rFonts w:ascii="Poppins" w:hAnsi="Poppins" w:cs="Poppins"/>
                <w:i/>
                <w:iCs/>
                <w:color w:val="000000"/>
                <w:lang w:val="en-GB"/>
              </w:rPr>
              <w:t>Soddisfazione generale delle relazioni 65</w:t>
            </w:r>
            <w:r w:rsidR="00EA7716" w:rsidRPr="008B346E">
              <w:rPr>
                <w:rFonts w:ascii="Poppins" w:hAnsi="Poppins" w:cs="Poppins"/>
                <w:i/>
                <w:iCs/>
                <w:color w:val="000000"/>
                <w:lang w:val="en-GB"/>
              </w:rPr>
              <w:t>+;</w:t>
            </w:r>
            <w:r w:rsidRPr="008B346E">
              <w:rPr>
                <w:rFonts w:ascii="Poppins" w:hAnsi="Poppins" w:cs="Poppins"/>
                <w:color w:val="000000"/>
                <w:lang w:val="en-GB"/>
              </w:rPr>
              <w:t xml:space="preserve"> 2) </w:t>
            </w:r>
            <w:r w:rsidRPr="008B346E">
              <w:rPr>
                <w:rFonts w:ascii="Poppins" w:hAnsi="Poppins" w:cs="Poppins"/>
                <w:i/>
                <w:iCs/>
                <w:color w:val="000000"/>
                <w:lang w:val="en-GB"/>
              </w:rPr>
              <w:t xml:space="preserve">Uso di Internet: </w:t>
            </w:r>
            <w:r w:rsidR="00EA7716" w:rsidRPr="008B346E">
              <w:rPr>
                <w:rFonts w:ascii="Poppins" w:hAnsi="Poppins" w:cs="Poppins"/>
                <w:i/>
                <w:iCs/>
                <w:color w:val="000000"/>
                <w:lang w:val="en-GB"/>
              </w:rPr>
              <w:t>mai;</w:t>
            </w:r>
            <w:r w:rsidRPr="008B346E">
              <w:rPr>
                <w:rFonts w:ascii="Poppins" w:hAnsi="Poppins" w:cs="Poppins"/>
                <w:color w:val="000000"/>
                <w:lang w:val="en-GB"/>
              </w:rPr>
              <w:t xml:space="preserve"> 3) </w:t>
            </w:r>
            <w:r w:rsidRPr="008B346E">
              <w:rPr>
                <w:rFonts w:ascii="Poppins" w:hAnsi="Poppins" w:cs="Poppins"/>
                <w:i/>
                <w:iCs/>
                <w:color w:val="000000"/>
                <w:lang w:val="en-GB"/>
              </w:rPr>
              <w:t>Uso di Internet (65-74)</w:t>
            </w:r>
            <w:r w:rsidRPr="008B346E">
              <w:rPr>
                <w:rFonts w:ascii="Poppins" w:hAnsi="Poppins" w:cs="Poppins"/>
                <w:color w:val="000000"/>
                <w:lang w:val="en-GB"/>
              </w:rPr>
              <w:t xml:space="preserve">; 4) </w:t>
            </w:r>
            <w:r w:rsidRPr="008B346E">
              <w:rPr>
                <w:rFonts w:ascii="Poppins" w:hAnsi="Poppins" w:cs="Poppins"/>
                <w:i/>
                <w:iCs/>
                <w:color w:val="000000"/>
                <w:lang w:val="en-GB"/>
              </w:rPr>
              <w:t>Partecipazione al turismo per scopi personali (65+)</w:t>
            </w:r>
            <w:r w:rsidRPr="008B346E">
              <w:rPr>
                <w:rFonts w:ascii="Poppins" w:hAnsi="Poppins" w:cs="Poppins"/>
                <w:color w:val="000000"/>
                <w:lang w:val="en-GB"/>
              </w:rPr>
              <w:t xml:space="preserve">; 5) </w:t>
            </w:r>
            <w:r w:rsidRPr="008B346E">
              <w:rPr>
                <w:rFonts w:ascii="Poppins" w:hAnsi="Poppins" w:cs="Poppins"/>
                <w:i/>
                <w:iCs/>
                <w:color w:val="000000"/>
                <w:lang w:val="en-GB"/>
              </w:rPr>
              <w:t>Partecipazione a sessioni di formazione</w:t>
            </w:r>
            <w:r w:rsidRPr="008B346E">
              <w:rPr>
                <w:rFonts w:ascii="Poppins" w:hAnsi="Poppins" w:cs="Poppins"/>
                <w:color w:val="000000"/>
                <w:lang w:val="en-GB"/>
              </w:rPr>
              <w:t xml:space="preserve">. Ambiente: 1) </w:t>
            </w:r>
            <w:r w:rsidRPr="008B346E">
              <w:rPr>
                <w:rFonts w:ascii="Poppins" w:hAnsi="Poppins" w:cs="Poppins"/>
                <w:i/>
                <w:iCs/>
                <w:color w:val="000000"/>
                <w:lang w:val="en-GB"/>
              </w:rPr>
              <w:t>Spesa per le pensioni</w:t>
            </w:r>
            <w:r w:rsidRPr="008B346E">
              <w:rPr>
                <w:rFonts w:ascii="Poppins" w:hAnsi="Poppins" w:cs="Poppins"/>
                <w:color w:val="000000"/>
                <w:lang w:val="en-GB"/>
              </w:rPr>
              <w:t xml:space="preserve">; 2) </w:t>
            </w:r>
            <w:r w:rsidRPr="008B346E">
              <w:rPr>
                <w:rFonts w:ascii="Poppins" w:hAnsi="Poppins" w:cs="Poppins"/>
                <w:i/>
                <w:iCs/>
                <w:color w:val="000000"/>
                <w:lang w:val="en-GB"/>
              </w:rPr>
              <w:t>Tasso di occupazione dei lavoratori anziani</w:t>
            </w:r>
            <w:r w:rsidRPr="008B346E">
              <w:rPr>
                <w:rFonts w:ascii="Poppins" w:hAnsi="Poppins" w:cs="Poppins"/>
                <w:color w:val="000000"/>
                <w:lang w:val="en-GB"/>
              </w:rPr>
              <w:t xml:space="preserve">; 3) </w:t>
            </w:r>
            <w:r w:rsidRPr="008B346E">
              <w:rPr>
                <w:rFonts w:ascii="Poppins" w:hAnsi="Poppins" w:cs="Poppins"/>
                <w:i/>
                <w:iCs/>
                <w:color w:val="000000"/>
                <w:lang w:val="en-GB"/>
              </w:rPr>
              <w:t xml:space="preserve">Impronta del consumatore </w:t>
            </w:r>
            <w:r w:rsidRPr="008B346E">
              <w:rPr>
                <w:rFonts w:ascii="Poppins" w:hAnsi="Poppins" w:cs="Poppins"/>
                <w:color w:val="000000"/>
                <w:lang w:val="en-GB"/>
              </w:rPr>
              <w:t xml:space="preserve">; 4) </w:t>
            </w:r>
            <w:r w:rsidRPr="008B346E">
              <w:rPr>
                <w:rFonts w:ascii="Poppins" w:hAnsi="Poppins" w:cs="Poppins"/>
                <w:i/>
                <w:iCs/>
                <w:color w:val="000000"/>
                <w:lang w:val="en-GB"/>
              </w:rPr>
              <w:t xml:space="preserve">Tasso di povertà tra gli over 65 </w:t>
            </w:r>
            <w:r w:rsidRPr="008B346E">
              <w:rPr>
                <w:rFonts w:ascii="Poppins" w:hAnsi="Poppins" w:cs="Poppins"/>
                <w:color w:val="000000"/>
                <w:lang w:val="en-GB"/>
              </w:rPr>
              <w:t xml:space="preserve">; 5) </w:t>
            </w:r>
            <w:r w:rsidRPr="008B346E">
              <w:rPr>
                <w:rFonts w:ascii="Poppins" w:hAnsi="Poppins" w:cs="Poppins"/>
                <w:i/>
                <w:iCs/>
                <w:color w:val="000000"/>
                <w:lang w:val="en-GB"/>
              </w:rPr>
              <w:t xml:space="preserve">Tasso di dipendenza degli anziani previsto </w:t>
            </w:r>
            <w:r w:rsidRPr="008B346E">
              <w:rPr>
                <w:rFonts w:ascii="Poppins" w:hAnsi="Poppins" w:cs="Poppins"/>
                <w:color w:val="000000"/>
                <w:lang w:val="en-GB"/>
              </w:rPr>
              <w:t xml:space="preserve">; 6) </w:t>
            </w:r>
            <w:r w:rsidRPr="008B346E">
              <w:rPr>
                <w:rFonts w:ascii="Poppins" w:hAnsi="Poppins" w:cs="Poppins"/>
                <w:i/>
                <w:iCs/>
                <w:color w:val="000000"/>
                <w:lang w:val="en-GB"/>
              </w:rPr>
              <w:t xml:space="preserve">Indice di democrazia </w:t>
            </w:r>
            <w:r w:rsidRPr="008B346E">
              <w:rPr>
                <w:rFonts w:ascii="Poppins" w:hAnsi="Poppins" w:cs="Poppins"/>
                <w:color w:val="000000"/>
                <w:lang w:val="en-GB"/>
              </w:rPr>
              <w:t>.</w:t>
            </w:r>
          </w:p>
        </w:tc>
      </w:tr>
      <w:tr w:rsidR="00476F02" w:rsidRPr="008B346E" w14:paraId="1088195B" w14:textId="77777777" w:rsidTr="00B74592">
        <w:tc>
          <w:tcPr>
            <w:tcW w:w="9016" w:type="dxa"/>
          </w:tcPr>
          <w:p w14:paraId="3A9A28B8" w14:textId="1319D401" w:rsidR="00476F02" w:rsidRPr="008B346E" w:rsidRDefault="00476F02" w:rsidP="00B74592">
            <w:pPr>
              <w:jc w:val="both"/>
              <w:rPr>
                <w:rFonts w:ascii="Poppins" w:hAnsi="Poppins" w:cs="Poppins"/>
                <w:color w:val="000000"/>
                <w:lang w:val="en-GB"/>
              </w:rPr>
            </w:pPr>
            <w:r w:rsidRPr="008B346E">
              <w:rPr>
                <w:rFonts w:ascii="Poppins" w:hAnsi="Poppins" w:cs="Poppins"/>
                <w:b/>
                <w:bCs/>
                <w:color w:val="000000"/>
                <w:lang w:val="en-GB"/>
              </w:rPr>
              <w:lastRenderedPageBreak/>
              <w:t>Fonte:</w:t>
            </w:r>
            <w:r w:rsidRPr="008B346E">
              <w:rPr>
                <w:rFonts w:ascii="Poppins" w:hAnsi="Poppins" w:cs="Poppins"/>
                <w:color w:val="000000"/>
                <w:lang w:val="en-GB"/>
              </w:rPr>
              <w:t xml:space="preserve"> Podgórniak-Krzykacz, A., Przywojska, J., &amp; Warwas, I. (2024). L'economia d'argento come risposta alle sfide demografiche nelle regioni polacche: strategia realistica o utopia? </w:t>
            </w:r>
            <w:r w:rsidRPr="008B346E">
              <w:rPr>
                <w:rFonts w:ascii="Poppins" w:hAnsi="Poppins" w:cs="Poppins"/>
                <w:i/>
                <w:iCs/>
                <w:color w:val="000000"/>
                <w:lang w:val="en-GB"/>
              </w:rPr>
              <w:t>Innovazione: The European Journal of Social Science Research</w:t>
            </w:r>
            <w:r w:rsidRPr="008B346E">
              <w:rPr>
                <w:rFonts w:ascii="Poppins" w:hAnsi="Poppins" w:cs="Poppins"/>
                <w:color w:val="000000"/>
                <w:lang w:val="en-GB"/>
              </w:rPr>
              <w:t>, 37(2), 170–197. https://doi.org/10.1080/13511610.2020.1736011</w:t>
            </w:r>
          </w:p>
          <w:p w14:paraId="4718FA87" w14:textId="77777777" w:rsidR="00476F02" w:rsidRPr="008B346E" w:rsidRDefault="00476F02" w:rsidP="00B74592">
            <w:pPr>
              <w:jc w:val="both"/>
              <w:rPr>
                <w:rFonts w:ascii="Poppins" w:hAnsi="Poppins" w:cs="Poppins"/>
                <w:color w:val="000000"/>
                <w:lang w:val="en-GB"/>
              </w:rPr>
            </w:pPr>
          </w:p>
          <w:p w14:paraId="244FE529" w14:textId="77777777" w:rsidR="00476F02" w:rsidRPr="008B346E" w:rsidRDefault="00476F02" w:rsidP="00B74592">
            <w:pPr>
              <w:jc w:val="both"/>
              <w:rPr>
                <w:rFonts w:ascii="Poppins" w:hAnsi="Poppins" w:cs="Poppins"/>
                <w:color w:val="000000"/>
                <w:lang w:val="en-GB"/>
              </w:rPr>
            </w:pPr>
            <w:r w:rsidRPr="008B346E">
              <w:rPr>
                <w:rFonts w:ascii="Poppins" w:hAnsi="Poppins" w:cs="Poppins"/>
                <w:b/>
                <w:bCs/>
                <w:color w:val="000000"/>
                <w:lang w:val="en-GB"/>
              </w:rPr>
              <w:t xml:space="preserve">Abstract: </w:t>
            </w:r>
            <w:r w:rsidRPr="008B346E">
              <w:rPr>
                <w:rFonts w:ascii="Poppins" w:hAnsi="Poppins" w:cs="Poppins"/>
                <w:color w:val="000000"/>
                <w:lang w:val="en-GB"/>
              </w:rPr>
              <w:t xml:space="preserve">Il documento è motivato dalle preoccupazioni relative alle sfide poste dal problema dell'invecchiamento della società e si concentra sulla Silver Economy (SE) come concetto sociale ed economico sviluppato in risposta a </w:t>
            </w:r>
            <w:r w:rsidRPr="008B346E">
              <w:rPr>
                <w:rFonts w:ascii="Poppins" w:hAnsi="Poppins" w:cs="Poppins"/>
                <w:color w:val="000000"/>
                <w:lang w:val="en-GB"/>
              </w:rPr>
              <w:lastRenderedPageBreak/>
              <w:t xml:space="preserve">questa sfida. Le analisi condotte hanno riguardato la pianificazione strategica dello sviluppo della SE nei voivodati polacchi. È stato elaborato un indicatore originale che mostra la volontà dell'autogoverno di un voivodato di sostenere lo sviluppo della SE (I </w:t>
            </w:r>
            <w:r w:rsidRPr="008B346E">
              <w:rPr>
                <w:rFonts w:ascii="Poppins" w:hAnsi="Poppins" w:cs="Poppins"/>
                <w:color w:val="000000"/>
                <w:vertAlign w:val="subscript"/>
                <w:lang w:val="en-GB"/>
              </w:rPr>
              <w:t xml:space="preserve">PWSSE </w:t>
            </w:r>
            <w:r w:rsidRPr="008B346E">
              <w:rPr>
                <w:rFonts w:ascii="Poppins" w:hAnsi="Poppins" w:cs="Poppins"/>
                <w:color w:val="000000"/>
                <w:lang w:val="en-GB"/>
              </w:rPr>
              <w:t xml:space="preserve">). Abbiamo anche analizzato le opinioni delle autorità locali a cui è stato chiesto di valutare l'importanza dell'inclusione del concetto di SE nei comuni. Sono state adottate le seguenti ipotesi: H1 – maggiore è il tasso di crescita del potenziale demografico del voivodato in termini di SE, maggiore è l'indicatore della volontà politica del governo regionale di sostenere la SE; H2 – nei voivodati che hanno riportato un indicatore più elevato (I </w:t>
            </w:r>
            <w:r w:rsidRPr="008B346E">
              <w:rPr>
                <w:rFonts w:ascii="Poppins" w:hAnsi="Poppins" w:cs="Poppins"/>
                <w:color w:val="000000"/>
                <w:vertAlign w:val="subscript"/>
                <w:lang w:val="en-GB"/>
              </w:rPr>
              <w:t xml:space="preserve">PWSSE </w:t>
            </w:r>
            <w:r w:rsidRPr="008B346E">
              <w:rPr>
                <w:rFonts w:ascii="Poppins" w:hAnsi="Poppins" w:cs="Poppins"/>
                <w:color w:val="000000"/>
                <w:lang w:val="en-GB"/>
              </w:rPr>
              <w:t>), anche l'interesse dei comuni a sostenere la SE sarà maggiore. Le ipotesi di ricerca sono state verificate negativamente.</w:t>
            </w:r>
          </w:p>
          <w:p w14:paraId="281720C0" w14:textId="77777777" w:rsidR="00476F02" w:rsidRPr="008B346E" w:rsidRDefault="00476F02" w:rsidP="00B74592">
            <w:pPr>
              <w:jc w:val="both"/>
              <w:rPr>
                <w:rFonts w:ascii="Poppins" w:hAnsi="Poppins" w:cs="Poppins"/>
                <w:color w:val="000000"/>
                <w:lang w:val="en-GB"/>
              </w:rPr>
            </w:pPr>
          </w:p>
          <w:p w14:paraId="1A502AD6" w14:textId="176C90B1" w:rsidR="00476F02" w:rsidRPr="008B346E" w:rsidRDefault="00476F02" w:rsidP="00B74592">
            <w:pPr>
              <w:jc w:val="both"/>
              <w:rPr>
                <w:rFonts w:ascii="Poppins" w:hAnsi="Poppins" w:cs="Poppins"/>
                <w:color w:val="000000"/>
                <w:lang w:val="en-GB"/>
              </w:rPr>
            </w:pPr>
            <w:r w:rsidRPr="008B346E">
              <w:rPr>
                <w:rFonts w:ascii="Poppins" w:hAnsi="Poppins" w:cs="Poppins"/>
                <w:b/>
                <w:bCs/>
                <w:color w:val="000000"/>
                <w:lang w:val="en-GB"/>
              </w:rPr>
              <w:t xml:space="preserve">Indicatori: </w:t>
            </w:r>
            <w:r w:rsidRPr="008B346E">
              <w:rPr>
                <w:rFonts w:ascii="Poppins" w:hAnsi="Poppins" w:cs="Poppins"/>
                <w:color w:val="000000"/>
                <w:lang w:val="en-GB"/>
              </w:rPr>
              <w:t xml:space="preserve">Diagnosi 3) </w:t>
            </w:r>
            <w:r w:rsidRPr="008B346E">
              <w:rPr>
                <w:rFonts w:ascii="Poppins" w:hAnsi="Poppins" w:cs="Poppins"/>
                <w:i/>
                <w:iCs/>
                <w:color w:val="000000"/>
                <w:lang w:val="en-GB"/>
              </w:rPr>
              <w:t>Il Voivodato ha identificato le dimensioni e le specializzazioni del settore dell'economia d'argento</w:t>
            </w:r>
            <w:r w:rsidRPr="008B346E">
              <w:rPr>
                <w:rFonts w:ascii="Poppins" w:hAnsi="Poppins" w:cs="Poppins"/>
                <w:color w:val="000000"/>
                <w:lang w:val="en-GB"/>
              </w:rPr>
              <w:t xml:space="preserve">; 2) </w:t>
            </w:r>
            <w:r w:rsidRPr="008B346E">
              <w:rPr>
                <w:rFonts w:ascii="Poppins" w:hAnsi="Poppins" w:cs="Poppins"/>
                <w:i/>
                <w:iCs/>
                <w:color w:val="000000"/>
                <w:lang w:val="en-GB"/>
              </w:rPr>
              <w:t>L'impatto dell'invecchiamento della popolazione sull'economia (consumo e fornitura di prodotti e servizi) e sui servizi pubblici è identificato</w:t>
            </w:r>
            <w:r w:rsidRPr="008B346E">
              <w:rPr>
                <w:rFonts w:ascii="Poppins" w:hAnsi="Poppins" w:cs="Poppins"/>
                <w:color w:val="000000"/>
                <w:lang w:val="en-GB"/>
              </w:rPr>
              <w:t xml:space="preserve">; 1) </w:t>
            </w:r>
            <w:r w:rsidRPr="008B346E">
              <w:rPr>
                <w:rFonts w:ascii="Poppins" w:hAnsi="Poppins" w:cs="Poppins"/>
                <w:i/>
                <w:iCs/>
                <w:color w:val="000000"/>
                <w:lang w:val="en-GB"/>
              </w:rPr>
              <w:t xml:space="preserve">L'economia d'argento è vista come un'opportunità di sviluppo basata sulle tendenze demografiche </w:t>
            </w:r>
            <w:r w:rsidRPr="008B346E">
              <w:rPr>
                <w:rFonts w:ascii="Poppins" w:hAnsi="Poppins" w:cs="Poppins"/>
                <w:color w:val="000000"/>
                <w:lang w:val="en-GB"/>
              </w:rPr>
              <w:t xml:space="preserve">; 0) </w:t>
            </w:r>
            <w:r w:rsidRPr="008B346E">
              <w:rPr>
                <w:rFonts w:ascii="Poppins" w:hAnsi="Poppins" w:cs="Poppins"/>
                <w:i/>
                <w:iCs/>
                <w:color w:val="000000"/>
                <w:lang w:val="en-GB"/>
              </w:rPr>
              <w:t xml:space="preserve">Nessuna menzione delle problematiche relative all'economia d'argento. </w:t>
            </w:r>
            <w:r w:rsidRPr="008B346E">
              <w:rPr>
                <w:rFonts w:ascii="Poppins" w:hAnsi="Poppins" w:cs="Poppins"/>
                <w:color w:val="000000"/>
                <w:lang w:val="en-GB"/>
              </w:rPr>
              <w:t xml:space="preserve">Analisi SWOT: 1) </w:t>
            </w:r>
            <w:r w:rsidRPr="008B346E">
              <w:rPr>
                <w:rFonts w:ascii="Poppins" w:hAnsi="Poppins" w:cs="Poppins"/>
                <w:i/>
                <w:iCs/>
                <w:color w:val="000000"/>
                <w:lang w:val="en-GB"/>
              </w:rPr>
              <w:t>C'è un riferimento allo sviluppo dell'economia d'argento</w:t>
            </w:r>
            <w:r w:rsidRPr="008B346E">
              <w:rPr>
                <w:rFonts w:ascii="Poppins" w:hAnsi="Poppins" w:cs="Poppins"/>
                <w:color w:val="000000"/>
                <w:lang w:val="en-GB"/>
              </w:rPr>
              <w:t xml:space="preserve">; 0) </w:t>
            </w:r>
            <w:r w:rsidRPr="008B346E">
              <w:rPr>
                <w:rFonts w:ascii="Poppins" w:hAnsi="Poppins" w:cs="Poppins"/>
                <w:i/>
                <w:iCs/>
                <w:color w:val="000000"/>
                <w:lang w:val="en-GB"/>
              </w:rPr>
              <w:t>Nessun riferimento allo sviluppo dell'economia d'argento</w:t>
            </w:r>
            <w:r w:rsidRPr="008B346E">
              <w:rPr>
                <w:rFonts w:ascii="Poppins" w:hAnsi="Poppins" w:cs="Poppins"/>
                <w:color w:val="000000"/>
                <w:lang w:val="en-GB"/>
              </w:rPr>
              <w:t xml:space="preserve">. Gerarchia degli obiettivi: 2) </w:t>
            </w:r>
            <w:r w:rsidRPr="008B346E">
              <w:rPr>
                <w:rFonts w:ascii="Poppins" w:hAnsi="Poppins" w:cs="Poppins"/>
                <w:i/>
                <w:iCs/>
                <w:color w:val="000000"/>
                <w:lang w:val="en-GB"/>
              </w:rPr>
              <w:t>Gli obiettivi a tutti i livelli includono un riferimento allo sviluppo dell'economia d'argento</w:t>
            </w:r>
            <w:r w:rsidRPr="008B346E">
              <w:rPr>
                <w:rFonts w:ascii="Poppins" w:hAnsi="Poppins" w:cs="Poppins"/>
                <w:color w:val="000000"/>
                <w:lang w:val="en-GB"/>
              </w:rPr>
              <w:t xml:space="preserve">; 1) </w:t>
            </w:r>
            <w:r w:rsidRPr="008B346E">
              <w:rPr>
                <w:rFonts w:ascii="Poppins" w:hAnsi="Poppins" w:cs="Poppins"/>
                <w:i/>
                <w:iCs/>
                <w:color w:val="000000"/>
                <w:lang w:val="en-GB"/>
              </w:rPr>
              <w:t>Gli obiettivi a livelli selezionati fanno riferimento allo sviluppo dell'economia d'argento (tuttavia, non esiste un percorso coerente di obiettivi)</w:t>
            </w:r>
            <w:r w:rsidRPr="008B346E">
              <w:rPr>
                <w:rFonts w:ascii="Poppins" w:hAnsi="Poppins" w:cs="Poppins"/>
                <w:color w:val="000000"/>
                <w:lang w:val="en-GB"/>
              </w:rPr>
              <w:t xml:space="preserve">; 0) </w:t>
            </w:r>
            <w:r w:rsidRPr="008B346E">
              <w:rPr>
                <w:rFonts w:ascii="Poppins" w:hAnsi="Poppins" w:cs="Poppins"/>
                <w:i/>
                <w:iCs/>
                <w:color w:val="000000"/>
                <w:lang w:val="en-GB"/>
              </w:rPr>
              <w:t>Nessun riferimento allo sviluppo dell'economia d'argento nell'obiettivo stabilito</w:t>
            </w:r>
            <w:r w:rsidRPr="008B346E">
              <w:rPr>
                <w:rFonts w:ascii="Poppins" w:hAnsi="Poppins" w:cs="Poppins"/>
                <w:color w:val="000000"/>
                <w:lang w:val="en-GB"/>
              </w:rPr>
              <w:t xml:space="preserve">. Azioni: 3) </w:t>
            </w:r>
            <w:r w:rsidRPr="008B346E">
              <w:rPr>
                <w:rFonts w:ascii="Poppins" w:hAnsi="Poppins" w:cs="Poppins"/>
                <w:i/>
                <w:iCs/>
                <w:color w:val="000000"/>
                <w:lang w:val="en-GB"/>
              </w:rPr>
              <w:t xml:space="preserve">La strategia di sviluppo del Voivodato e il programma operativo settoriale sull'invecchiamento della popolazione includono azioni mirate allo sviluppo dell'economia d'argento; </w:t>
            </w:r>
            <w:r w:rsidRPr="008B346E">
              <w:rPr>
                <w:rFonts w:ascii="Poppins" w:hAnsi="Poppins" w:cs="Poppins"/>
                <w:color w:val="000000"/>
                <w:lang w:val="en-GB"/>
              </w:rPr>
              <w:t xml:space="preserve">2) </w:t>
            </w:r>
            <w:r w:rsidRPr="008B346E">
              <w:rPr>
                <w:rFonts w:ascii="Poppins" w:hAnsi="Poppins" w:cs="Poppins"/>
                <w:i/>
                <w:iCs/>
                <w:color w:val="000000"/>
                <w:lang w:val="en-GB"/>
              </w:rPr>
              <w:t>Il programma operativo settoriale del Voivodato sull'invecchiamento della popolazione include azioni mirate allo sviluppo dell'economia d'argento</w:t>
            </w:r>
            <w:r w:rsidRPr="008B346E">
              <w:rPr>
                <w:rFonts w:ascii="Poppins" w:hAnsi="Poppins" w:cs="Poppins"/>
                <w:color w:val="000000"/>
                <w:lang w:val="en-GB"/>
              </w:rPr>
              <w:t xml:space="preserve">; 1) </w:t>
            </w:r>
            <w:r w:rsidRPr="008B346E">
              <w:rPr>
                <w:rFonts w:ascii="Poppins" w:hAnsi="Poppins" w:cs="Poppins"/>
                <w:i/>
                <w:iCs/>
                <w:color w:val="000000"/>
                <w:lang w:val="en-GB"/>
              </w:rPr>
              <w:t>Le azioni mirate allo sviluppo dell'economia d'argento sono presenti nella strategia di sviluppo</w:t>
            </w:r>
            <w:r w:rsidRPr="008B346E">
              <w:rPr>
                <w:rFonts w:ascii="Poppins" w:hAnsi="Poppins" w:cs="Poppins"/>
                <w:color w:val="000000"/>
                <w:lang w:val="en-GB"/>
              </w:rPr>
              <w:t xml:space="preserve">; 0) </w:t>
            </w:r>
            <w:r w:rsidRPr="008B346E">
              <w:rPr>
                <w:rFonts w:ascii="Poppins" w:hAnsi="Poppins" w:cs="Poppins"/>
                <w:i/>
                <w:iCs/>
                <w:color w:val="000000"/>
                <w:lang w:val="en-GB"/>
              </w:rPr>
              <w:t>Nessuna azione mirata allo sviluppo dell'economia d'argento</w:t>
            </w:r>
            <w:r w:rsidRPr="008B346E">
              <w:rPr>
                <w:rFonts w:ascii="Poppins" w:hAnsi="Poppins" w:cs="Poppins"/>
                <w:color w:val="000000"/>
                <w:lang w:val="en-GB"/>
              </w:rPr>
              <w:t xml:space="preserve">; Monitoraggio: 1) </w:t>
            </w:r>
            <w:r w:rsidRPr="008B346E">
              <w:rPr>
                <w:rFonts w:ascii="Poppins" w:hAnsi="Poppins" w:cs="Poppins"/>
                <w:i/>
                <w:iCs/>
                <w:color w:val="000000"/>
                <w:lang w:val="en-GB"/>
              </w:rPr>
              <w:t>Sono definiti indicatori di sviluppo dell'economia d'argento</w:t>
            </w:r>
            <w:r w:rsidRPr="008B346E">
              <w:rPr>
                <w:rFonts w:ascii="Poppins" w:hAnsi="Poppins" w:cs="Poppins"/>
                <w:color w:val="000000"/>
                <w:lang w:val="en-GB"/>
              </w:rPr>
              <w:t xml:space="preserve">; 0) </w:t>
            </w:r>
            <w:r w:rsidRPr="008B346E">
              <w:rPr>
                <w:rFonts w:ascii="Poppins" w:hAnsi="Poppins" w:cs="Poppins"/>
                <w:i/>
                <w:iCs/>
                <w:color w:val="000000"/>
                <w:lang w:val="en-GB"/>
              </w:rPr>
              <w:t xml:space="preserve">Nessun indicatore di sviluppo dell'economia d'argento </w:t>
            </w:r>
            <w:r w:rsidRPr="008B346E">
              <w:rPr>
                <w:rFonts w:ascii="Poppins" w:hAnsi="Poppins" w:cs="Poppins"/>
                <w:color w:val="000000"/>
                <w:lang w:val="en-GB"/>
              </w:rPr>
              <w:t>.</w:t>
            </w:r>
          </w:p>
        </w:tc>
      </w:tr>
    </w:tbl>
    <w:p w14:paraId="504161B8" w14:textId="77777777" w:rsidR="00476F02" w:rsidRPr="008B346E" w:rsidRDefault="00476F02" w:rsidP="00476F02">
      <w:pPr>
        <w:jc w:val="both"/>
        <w:rPr>
          <w:rFonts w:ascii="Poppins" w:hAnsi="Poppins" w:cs="Poppins"/>
          <w:color w:val="000000"/>
          <w:sz w:val="20"/>
          <w:szCs w:val="20"/>
          <w:lang w:val="en-GB"/>
        </w:rPr>
      </w:pPr>
    </w:p>
    <w:p w14:paraId="774EA961" w14:textId="77777777" w:rsidR="00476F02" w:rsidRPr="008B346E" w:rsidRDefault="00476F02" w:rsidP="00476F02">
      <w:pPr>
        <w:jc w:val="both"/>
        <w:rPr>
          <w:rFonts w:ascii="Poppins" w:hAnsi="Poppins" w:cs="Poppins"/>
          <w:color w:val="000000"/>
          <w:sz w:val="20"/>
          <w:szCs w:val="20"/>
          <w:lang w:val="en-GB"/>
        </w:rPr>
      </w:pPr>
      <w:r w:rsidRPr="008B346E">
        <w:rPr>
          <w:rFonts w:ascii="Poppins" w:hAnsi="Poppins" w:cs="Poppins"/>
          <w:color w:val="000000"/>
          <w:sz w:val="20"/>
          <w:szCs w:val="20"/>
          <w:lang w:val="en-GB"/>
        </w:rPr>
        <w:t xml:space="preserve">In conclusione, la letteratura esplorata evidenzia la presenza di numerosi indicatori per lo studio della silver economy, derivati prevalentemente da indagini campionarie finalizzate a confronti internazionali, mentre sono meno comuni gli indicatori progettati su base censuaria che coprono l'intera popolazione. Gli indicatori si concentrano principalmente sulle condizioni economiche e </w:t>
      </w:r>
      <w:r w:rsidRPr="008B346E">
        <w:rPr>
          <w:rFonts w:ascii="Poppins" w:hAnsi="Poppins" w:cs="Poppins"/>
          <w:color w:val="000000"/>
          <w:sz w:val="20"/>
          <w:szCs w:val="20"/>
          <w:lang w:val="en-GB"/>
        </w:rPr>
        <w:lastRenderedPageBreak/>
        <w:t>sui bisogni della popolazione anziana, con ulteriori riferimenti all'estensione della vita lavorativa e alla loro inclusione sociale. Tuttavia, le informazioni sulla domanda e l'offerta effettive di beni e servizi specifici per la popolazione anziana sono scarse o non sufficientemente dettagliate.</w:t>
      </w:r>
    </w:p>
    <w:p w14:paraId="1FC4F0C4" w14:textId="77777777" w:rsidR="00476F02" w:rsidRPr="008B346E" w:rsidRDefault="00476F02" w:rsidP="00476F02">
      <w:pPr>
        <w:jc w:val="both"/>
        <w:rPr>
          <w:rFonts w:ascii="Poppins" w:hAnsi="Poppins" w:cs="Poppins"/>
          <w:color w:val="000000"/>
          <w:sz w:val="20"/>
          <w:szCs w:val="20"/>
          <w:lang w:val="en-GB"/>
        </w:rPr>
      </w:pPr>
      <w:r w:rsidRPr="008B346E">
        <w:rPr>
          <w:rFonts w:ascii="Poppins" w:hAnsi="Poppins" w:cs="Poppins"/>
          <w:color w:val="000000"/>
          <w:sz w:val="20"/>
          <w:szCs w:val="20"/>
          <w:lang w:val="en-GB"/>
        </w:rPr>
        <w:t>Molti dei dati identificati in letteratura provengono da indagini condotte per confronti internazionali o da dati riguardanti la struttura dei sistemi economici e di welfare. Questo approccio limita la possibilità di disaggregare o approfondire l'analisi dei dati a livello regionale o subregionale. Inoltre, i dati provenienti da varie fonti statistiche istituzionali e osservatori che si occupano di invecchiamento e silver economy sono spesso concepiti per soddisfare esigenze amministrative o rispondere a quesiti di ricerca eterogenei, con conseguente frammentazione e incoerenza nei criteri di raccolta e classificazione dei dati.</w:t>
      </w:r>
    </w:p>
    <w:p w14:paraId="615552DD" w14:textId="77777777" w:rsidR="00476F02" w:rsidRPr="008B346E" w:rsidRDefault="00476F02" w:rsidP="00476F02">
      <w:pPr>
        <w:jc w:val="both"/>
        <w:rPr>
          <w:rFonts w:ascii="Poppins" w:hAnsi="Poppins" w:cs="Poppins"/>
          <w:color w:val="000000"/>
          <w:sz w:val="20"/>
          <w:szCs w:val="20"/>
          <w:lang w:val="en-GB"/>
        </w:rPr>
      </w:pPr>
      <w:r w:rsidRPr="008B346E">
        <w:rPr>
          <w:rFonts w:ascii="Poppins" w:hAnsi="Poppins" w:cs="Poppins"/>
          <w:color w:val="000000"/>
          <w:sz w:val="20"/>
          <w:szCs w:val="20"/>
          <w:lang w:val="en-GB"/>
        </w:rPr>
        <w:t>In questo contesto, una fase critica del progetto EDASE riguarderà l'integrazione e l'armonizzazione di queste diverse fonti, utilizzando procedure di data cleaning e standardizzazione per garantire la coerenza e l'affidabilità degli indicatori. Sebbene la letteratura fornisca spunti preziosi e numerose opportunità di approfondimento, vi è un'urgente necessità di migliorare l'accesso a dati completi e comparabili. Questo miglioramento supporterebbe analisi empiricamente fondate e confronti significativi, sia a livello nazionale che con un maggiore dettaglio regionale.</w:t>
      </w:r>
    </w:p>
    <w:p w14:paraId="1AE480E3" w14:textId="77777777" w:rsidR="00207AB3" w:rsidRDefault="00207AB3" w:rsidP="007657C5">
      <w:pPr>
        <w:pStyle w:val="Titolo2"/>
        <w:jc w:val="center"/>
        <w:rPr>
          <w:rFonts w:ascii="Poppins" w:hAnsi="Poppins" w:cs="Poppins"/>
          <w:color w:val="124F1A" w:themeColor="accent3" w:themeShade="BF"/>
          <w:sz w:val="36"/>
          <w:szCs w:val="36"/>
          <w:lang w:val="en-GB"/>
        </w:rPr>
      </w:pPr>
    </w:p>
    <w:p w14:paraId="1033D779" w14:textId="77777777" w:rsidR="003327A3" w:rsidRDefault="003327A3" w:rsidP="003327A3">
      <w:pPr>
        <w:rPr>
          <w:lang w:val="en-GB" w:eastAsia="en-US"/>
        </w:rPr>
      </w:pPr>
    </w:p>
    <w:p w14:paraId="72298F4D" w14:textId="77777777" w:rsidR="003327A3" w:rsidRDefault="003327A3" w:rsidP="003327A3">
      <w:pPr>
        <w:rPr>
          <w:lang w:val="en-GB" w:eastAsia="en-US"/>
        </w:rPr>
      </w:pPr>
    </w:p>
    <w:p w14:paraId="1888C64A" w14:textId="77777777" w:rsidR="003327A3" w:rsidRDefault="003327A3" w:rsidP="003327A3">
      <w:pPr>
        <w:rPr>
          <w:lang w:val="en-GB" w:eastAsia="en-US"/>
        </w:rPr>
      </w:pPr>
    </w:p>
    <w:p w14:paraId="73074AAF" w14:textId="77777777" w:rsidR="003327A3" w:rsidRDefault="003327A3" w:rsidP="003327A3">
      <w:pPr>
        <w:rPr>
          <w:lang w:val="en-GB" w:eastAsia="en-US"/>
        </w:rPr>
      </w:pPr>
    </w:p>
    <w:p w14:paraId="334412BA" w14:textId="77777777" w:rsidR="003327A3" w:rsidRDefault="003327A3" w:rsidP="003327A3">
      <w:pPr>
        <w:rPr>
          <w:lang w:val="en-GB" w:eastAsia="en-US"/>
        </w:rPr>
      </w:pPr>
    </w:p>
    <w:p w14:paraId="7447E2BF" w14:textId="77777777" w:rsidR="003327A3" w:rsidRDefault="003327A3" w:rsidP="003327A3">
      <w:pPr>
        <w:rPr>
          <w:lang w:val="en-GB" w:eastAsia="en-US"/>
        </w:rPr>
      </w:pPr>
    </w:p>
    <w:p w14:paraId="1EF397F9" w14:textId="77777777" w:rsidR="003327A3" w:rsidRDefault="003327A3" w:rsidP="003327A3">
      <w:pPr>
        <w:rPr>
          <w:lang w:val="en-GB" w:eastAsia="en-US"/>
        </w:rPr>
      </w:pPr>
    </w:p>
    <w:p w14:paraId="3787119B" w14:textId="77777777" w:rsidR="003327A3" w:rsidRDefault="003327A3" w:rsidP="003327A3">
      <w:pPr>
        <w:rPr>
          <w:lang w:val="en-GB" w:eastAsia="en-US"/>
        </w:rPr>
      </w:pPr>
    </w:p>
    <w:p w14:paraId="5199D929" w14:textId="77777777" w:rsidR="003327A3" w:rsidRDefault="003327A3" w:rsidP="003327A3">
      <w:pPr>
        <w:rPr>
          <w:lang w:val="en-GB" w:eastAsia="en-US"/>
        </w:rPr>
      </w:pPr>
    </w:p>
    <w:p w14:paraId="519E1B24" w14:textId="77777777" w:rsidR="003327A3" w:rsidRDefault="003327A3" w:rsidP="003327A3">
      <w:pPr>
        <w:rPr>
          <w:lang w:val="en-GB" w:eastAsia="en-US"/>
        </w:rPr>
      </w:pPr>
    </w:p>
    <w:p w14:paraId="19140DAF" w14:textId="77777777" w:rsidR="003327A3" w:rsidRDefault="003327A3" w:rsidP="003327A3">
      <w:pPr>
        <w:rPr>
          <w:lang w:val="en-GB" w:eastAsia="en-US"/>
        </w:rPr>
      </w:pPr>
    </w:p>
    <w:p w14:paraId="747DE6F0" w14:textId="77777777" w:rsidR="003327A3" w:rsidRDefault="003327A3" w:rsidP="003327A3">
      <w:pPr>
        <w:rPr>
          <w:lang w:val="en-GB" w:eastAsia="en-US"/>
        </w:rPr>
      </w:pPr>
    </w:p>
    <w:p w14:paraId="439BE60F" w14:textId="77777777" w:rsidR="003327A3" w:rsidRDefault="003327A3" w:rsidP="003327A3">
      <w:pPr>
        <w:rPr>
          <w:lang w:val="en-GB" w:eastAsia="en-US"/>
        </w:rPr>
      </w:pPr>
    </w:p>
    <w:p w14:paraId="7554757E" w14:textId="77777777" w:rsidR="003327A3" w:rsidRDefault="003327A3" w:rsidP="003327A3">
      <w:pPr>
        <w:rPr>
          <w:lang w:val="en-GB" w:eastAsia="en-US"/>
        </w:rPr>
      </w:pPr>
    </w:p>
    <w:p w14:paraId="73909D27" w14:textId="77777777" w:rsidR="003327A3" w:rsidRDefault="003327A3" w:rsidP="003327A3">
      <w:pPr>
        <w:rPr>
          <w:lang w:val="en-GB" w:eastAsia="en-US"/>
        </w:rPr>
      </w:pPr>
    </w:p>
    <w:p w14:paraId="5CDD14D8" w14:textId="77777777" w:rsidR="003327A3" w:rsidRDefault="003327A3" w:rsidP="003327A3">
      <w:pPr>
        <w:rPr>
          <w:lang w:val="en-GB" w:eastAsia="en-US"/>
        </w:rPr>
      </w:pPr>
    </w:p>
    <w:p w14:paraId="42FA1D26" w14:textId="77777777" w:rsidR="003327A3" w:rsidRDefault="003327A3" w:rsidP="003327A3">
      <w:pPr>
        <w:rPr>
          <w:lang w:val="en-GB" w:eastAsia="en-US"/>
        </w:rPr>
      </w:pPr>
    </w:p>
    <w:p w14:paraId="12FD27BA" w14:textId="77777777" w:rsidR="003327A3" w:rsidRDefault="003327A3" w:rsidP="003327A3">
      <w:pPr>
        <w:rPr>
          <w:lang w:val="en-GB" w:eastAsia="en-US"/>
        </w:rPr>
      </w:pPr>
    </w:p>
    <w:p w14:paraId="68ADA730" w14:textId="4D1B6012" w:rsidR="003327A3" w:rsidRDefault="003327A3" w:rsidP="003327A3">
      <w:pPr>
        <w:rPr>
          <w:lang w:val="en-GB" w:eastAsia="en-US"/>
        </w:rPr>
      </w:pPr>
      <w:r>
        <w:rPr>
          <w:lang w:val="en-GB" w:eastAsia="en-US"/>
        </w:rPr>
        <w:t xml:space="preserve">Bibliografia </w:t>
      </w:r>
    </w:p>
    <w:p w14:paraId="20716532" w14:textId="77777777" w:rsidR="003327A3" w:rsidRDefault="003327A3" w:rsidP="003327A3">
      <w:pPr>
        <w:rPr>
          <w:lang w:val="en-GB" w:eastAsia="en-US"/>
        </w:rPr>
      </w:pPr>
    </w:p>
    <w:p w14:paraId="170C1272" w14:textId="77777777" w:rsidR="003327A3" w:rsidRPr="008B346E" w:rsidRDefault="003327A3" w:rsidP="003327A3">
      <w:pPr>
        <w:ind w:left="340" w:hanging="340"/>
        <w:rPr>
          <w:rFonts w:ascii="Poppins" w:hAnsi="Poppins" w:cs="Poppins"/>
          <w:sz w:val="20"/>
          <w:szCs w:val="20"/>
          <w:lang w:val="en-GB"/>
        </w:rPr>
      </w:pPr>
      <w:r w:rsidRPr="008B346E">
        <w:rPr>
          <w:rFonts w:ascii="Poppins" w:hAnsi="Poppins" w:cs="Poppins"/>
          <w:sz w:val="20"/>
          <w:szCs w:val="20"/>
          <w:lang w:val="en-GB"/>
        </w:rPr>
        <w:t xml:space="preserve">Bieszk-Stolorz, B., Dmytrów, K., &amp; Frąckiewicz, E. (2024). Multivariate Analysis of the Sustainable Development of the Silver Economy in the European Union Countries. </w:t>
      </w:r>
      <w:r w:rsidRPr="008B346E">
        <w:rPr>
          <w:rFonts w:ascii="Poppins" w:hAnsi="Poppins" w:cs="Poppins"/>
          <w:i/>
          <w:iCs/>
          <w:sz w:val="20"/>
          <w:szCs w:val="20"/>
          <w:lang w:val="en-GB"/>
        </w:rPr>
        <w:t>Sustainability</w:t>
      </w:r>
      <w:r w:rsidRPr="008B346E">
        <w:rPr>
          <w:rFonts w:ascii="Poppins" w:hAnsi="Poppins" w:cs="Poppins"/>
          <w:sz w:val="20"/>
          <w:szCs w:val="20"/>
          <w:lang w:val="en-GB"/>
        </w:rPr>
        <w:t xml:space="preserve">, </w:t>
      </w:r>
      <w:r w:rsidRPr="008B346E">
        <w:rPr>
          <w:rFonts w:ascii="Poppins" w:hAnsi="Poppins" w:cs="Poppins"/>
          <w:i/>
          <w:iCs/>
          <w:sz w:val="20"/>
          <w:szCs w:val="20"/>
          <w:lang w:val="en-GB"/>
        </w:rPr>
        <w:t>16</w:t>
      </w:r>
      <w:r w:rsidRPr="008B346E">
        <w:rPr>
          <w:rFonts w:ascii="Poppins" w:hAnsi="Poppins" w:cs="Poppins"/>
          <w:sz w:val="20"/>
          <w:szCs w:val="20"/>
          <w:lang w:val="en-GB"/>
        </w:rPr>
        <w:t>(23), 10703. https://doi.org/10.3390/su162310703</w:t>
      </w:r>
    </w:p>
    <w:p w14:paraId="43F75538" w14:textId="77777777" w:rsidR="003327A3" w:rsidRPr="008B346E" w:rsidRDefault="003327A3" w:rsidP="003327A3">
      <w:pPr>
        <w:ind w:left="340" w:hanging="340"/>
        <w:rPr>
          <w:rFonts w:ascii="Poppins" w:hAnsi="Poppins" w:cs="Poppins"/>
          <w:sz w:val="20"/>
          <w:szCs w:val="20"/>
          <w:lang w:val="en-GB"/>
        </w:rPr>
      </w:pPr>
      <w:r w:rsidRPr="008B346E">
        <w:rPr>
          <w:rFonts w:ascii="Poppins" w:hAnsi="Poppins" w:cs="Poppins"/>
          <w:sz w:val="20"/>
          <w:szCs w:val="20"/>
          <w:lang w:val="en-GB"/>
        </w:rPr>
        <w:t xml:space="preserve">Roch-Dupré, D., Aracil, E., &amp; Calvo-Bascones, P. (2024). Monitoring socioeconomic readiness for the demographic transition: Introducing the Senior Economy Tracker. </w:t>
      </w:r>
      <w:r w:rsidRPr="008B346E">
        <w:rPr>
          <w:rFonts w:ascii="Poppins" w:hAnsi="Poppins" w:cs="Poppins"/>
          <w:i/>
          <w:iCs/>
          <w:sz w:val="20"/>
          <w:szCs w:val="20"/>
          <w:lang w:val="en-GB"/>
        </w:rPr>
        <w:t>Structural Change and Economic Dynamics</w:t>
      </w:r>
      <w:r w:rsidRPr="008B346E">
        <w:rPr>
          <w:rFonts w:ascii="Poppins" w:hAnsi="Poppins" w:cs="Poppins"/>
          <w:sz w:val="20"/>
          <w:szCs w:val="20"/>
          <w:lang w:val="en-GB"/>
        </w:rPr>
        <w:t xml:space="preserve">, </w:t>
      </w:r>
      <w:r w:rsidRPr="008B346E">
        <w:rPr>
          <w:rFonts w:ascii="Poppins" w:hAnsi="Poppins" w:cs="Poppins"/>
          <w:i/>
          <w:iCs/>
          <w:sz w:val="20"/>
          <w:szCs w:val="20"/>
          <w:lang w:val="en-GB"/>
        </w:rPr>
        <w:t>71</w:t>
      </w:r>
      <w:r w:rsidRPr="008B346E">
        <w:rPr>
          <w:rFonts w:ascii="Poppins" w:hAnsi="Poppins" w:cs="Poppins"/>
          <w:sz w:val="20"/>
          <w:szCs w:val="20"/>
          <w:lang w:val="en-GB"/>
        </w:rPr>
        <w:t>, 430–443. https://doi.org/10.1016/j.strueco.2024.08.007</w:t>
      </w:r>
    </w:p>
    <w:p w14:paraId="06B2343C" w14:textId="77777777" w:rsidR="003327A3" w:rsidRPr="008B346E" w:rsidRDefault="003327A3" w:rsidP="003327A3">
      <w:pPr>
        <w:ind w:left="340" w:hanging="340"/>
        <w:rPr>
          <w:rFonts w:ascii="Poppins" w:hAnsi="Poppins" w:cs="Poppins"/>
          <w:sz w:val="20"/>
          <w:szCs w:val="20"/>
          <w:lang w:val="en-GB"/>
        </w:rPr>
      </w:pPr>
      <w:r w:rsidRPr="008B346E">
        <w:rPr>
          <w:rFonts w:ascii="Poppins" w:hAnsi="Poppins" w:cs="Poppins"/>
          <w:sz w:val="20"/>
          <w:szCs w:val="20"/>
          <w:lang w:val="en-GB"/>
        </w:rPr>
        <w:t xml:space="preserve">Roszko-Wójtowicz, E., Przybysz, K., &amp; Stanimir, A. (2024). Differences in seniors’ standard of living and their impact on the development of the silver economy across Europe. </w:t>
      </w:r>
      <w:r w:rsidRPr="008B346E">
        <w:rPr>
          <w:rFonts w:ascii="Poppins" w:hAnsi="Poppins" w:cs="Poppins"/>
          <w:i/>
          <w:iCs/>
          <w:sz w:val="20"/>
          <w:szCs w:val="20"/>
          <w:lang w:val="en-GB"/>
        </w:rPr>
        <w:t>Bulletin of Geography. Socio-Economic Series</w:t>
      </w:r>
      <w:r w:rsidRPr="008B346E">
        <w:rPr>
          <w:rFonts w:ascii="Poppins" w:hAnsi="Poppins" w:cs="Poppins"/>
          <w:sz w:val="20"/>
          <w:szCs w:val="20"/>
          <w:lang w:val="en-GB"/>
        </w:rPr>
        <w:t xml:space="preserve">, </w:t>
      </w:r>
      <w:r w:rsidRPr="008B346E">
        <w:rPr>
          <w:rFonts w:ascii="Poppins" w:hAnsi="Poppins" w:cs="Poppins"/>
          <w:i/>
          <w:iCs/>
          <w:sz w:val="20"/>
          <w:szCs w:val="20"/>
          <w:lang w:val="en-GB"/>
        </w:rPr>
        <w:t>66</w:t>
      </w:r>
      <w:r w:rsidRPr="008B346E">
        <w:rPr>
          <w:rFonts w:ascii="Poppins" w:hAnsi="Poppins" w:cs="Poppins"/>
          <w:sz w:val="20"/>
          <w:szCs w:val="20"/>
          <w:lang w:val="en-GB"/>
        </w:rPr>
        <w:t>, 57–72. https://doi.org/10.12775/bgss-2024-0033</w:t>
      </w:r>
    </w:p>
    <w:p w14:paraId="05B6AE7B" w14:textId="77777777" w:rsidR="003327A3" w:rsidRPr="008B346E" w:rsidRDefault="003327A3" w:rsidP="003327A3">
      <w:pPr>
        <w:ind w:left="340" w:hanging="340"/>
        <w:rPr>
          <w:rFonts w:ascii="Poppins" w:hAnsi="Poppins" w:cs="Poppins"/>
          <w:sz w:val="20"/>
          <w:szCs w:val="20"/>
          <w:lang w:val="en-GB"/>
        </w:rPr>
      </w:pPr>
      <w:r w:rsidRPr="008B346E">
        <w:rPr>
          <w:rFonts w:ascii="Poppins" w:hAnsi="Poppins" w:cs="Poppins"/>
          <w:sz w:val="20"/>
          <w:szCs w:val="20"/>
          <w:lang w:val="en-GB"/>
        </w:rPr>
        <w:t xml:space="preserve">Podgórniak-Krzykacz, A., Przywojska, J., &amp; Warwas, I. (2024). Silver economy as a response to demographic challenges in polish regions: realistic strategy or Utopia? </w:t>
      </w:r>
      <w:r w:rsidRPr="008B346E">
        <w:rPr>
          <w:rFonts w:ascii="Poppins" w:hAnsi="Poppins" w:cs="Poppins"/>
          <w:i/>
          <w:iCs/>
          <w:sz w:val="20"/>
          <w:szCs w:val="20"/>
          <w:lang w:val="en-GB"/>
        </w:rPr>
        <w:t>Innovation: The European Journal of Social Science Research</w:t>
      </w:r>
      <w:r w:rsidRPr="008B346E">
        <w:rPr>
          <w:rFonts w:ascii="Poppins" w:hAnsi="Poppins" w:cs="Poppins"/>
          <w:sz w:val="20"/>
          <w:szCs w:val="20"/>
          <w:lang w:val="en-GB"/>
        </w:rPr>
        <w:t xml:space="preserve">, </w:t>
      </w:r>
      <w:r w:rsidRPr="008B346E">
        <w:rPr>
          <w:rFonts w:ascii="Poppins" w:hAnsi="Poppins" w:cs="Poppins"/>
          <w:i/>
          <w:iCs/>
          <w:sz w:val="20"/>
          <w:szCs w:val="20"/>
          <w:lang w:val="en-GB"/>
        </w:rPr>
        <w:t>37</w:t>
      </w:r>
      <w:r w:rsidRPr="008B346E">
        <w:rPr>
          <w:rFonts w:ascii="Poppins" w:hAnsi="Poppins" w:cs="Poppins"/>
          <w:sz w:val="20"/>
          <w:szCs w:val="20"/>
          <w:lang w:val="en-GB"/>
        </w:rPr>
        <w:t>(2), 170–197. https://doi.org/10.1080/13511610.2020.1736011</w:t>
      </w:r>
    </w:p>
    <w:p w14:paraId="7DEA0D45" w14:textId="77777777" w:rsidR="003327A3" w:rsidRPr="003327A3" w:rsidRDefault="003327A3" w:rsidP="003327A3">
      <w:pPr>
        <w:rPr>
          <w:lang w:val="en-GB" w:eastAsia="en-US"/>
        </w:rPr>
      </w:pPr>
    </w:p>
    <w:sectPr w:rsidR="003327A3" w:rsidRPr="003327A3">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09213" w14:textId="77777777" w:rsidR="00AB3CDD" w:rsidRDefault="00AB3CDD" w:rsidP="0079697F">
      <w:r>
        <w:separator/>
      </w:r>
    </w:p>
  </w:endnote>
  <w:endnote w:type="continuationSeparator" w:id="0">
    <w:p w14:paraId="54AE4509" w14:textId="77777777" w:rsidR="00AB3CDD" w:rsidRDefault="00AB3CDD" w:rsidP="00796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78EC6" w14:textId="77777777" w:rsidR="00AB3CDD" w:rsidRDefault="00AB3CDD" w:rsidP="0079697F">
      <w:r>
        <w:separator/>
      </w:r>
    </w:p>
  </w:footnote>
  <w:footnote w:type="continuationSeparator" w:id="0">
    <w:p w14:paraId="237FCE21" w14:textId="77777777" w:rsidR="00AB3CDD" w:rsidRDefault="00AB3CDD" w:rsidP="007969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9615D" w14:textId="6B830D7B" w:rsidR="0079697F" w:rsidRDefault="0079697F">
    <w:pPr>
      <w:pStyle w:val="Intestazione"/>
    </w:pPr>
    <w:r>
      <w:rPr>
        <w:noProof/>
      </w:rPr>
      <w:drawing>
        <wp:anchor distT="0" distB="0" distL="114300" distR="114300" simplePos="0" relativeHeight="251659264" behindDoc="0" locked="0" layoutInCell="1" hidden="0" allowOverlap="1" wp14:anchorId="1DA90A4B" wp14:editId="6CEC7A85">
          <wp:simplePos x="0" y="0"/>
          <wp:positionH relativeFrom="page">
            <wp:posOffset>15755</wp:posOffset>
          </wp:positionH>
          <wp:positionV relativeFrom="paragraph">
            <wp:posOffset>-433121</wp:posOffset>
          </wp:positionV>
          <wp:extent cx="7561580" cy="885825"/>
          <wp:effectExtent l="0" t="0" r="1270" b="9525"/>
          <wp:wrapNone/>
          <wp:docPr id="1455172115" name="image1.png" descr="Immagine che contiene testo, schermata, Elementi grafici, logo&#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1455172115" name="image1.png" descr="Immagine che contiene testo, schermata, Elementi grafici, logo&#10;&#10;Il contenuto generato dall'IA potrebbe non essere corretto."/>
                  <pic:cNvPicPr preferRelativeResize="0"/>
                </pic:nvPicPr>
                <pic:blipFill>
                  <a:blip r:embed="rId1"/>
                  <a:srcRect/>
                  <a:stretch>
                    <a:fillRect/>
                  </a:stretch>
                </pic:blipFill>
                <pic:spPr>
                  <a:xfrm>
                    <a:off x="0" y="0"/>
                    <a:ext cx="7561580" cy="885825"/>
                  </a:xfrm>
                  <a:prstGeom prst="rect">
                    <a:avLst/>
                  </a:prstGeom>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036CB4A"/>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20906CDF"/>
    <w:multiLevelType w:val="hybridMultilevel"/>
    <w:tmpl w:val="2C203A5E"/>
    <w:lvl w:ilvl="0" w:tplc="A47C9752">
      <w:start w:val="1"/>
      <w:numFmt w:val="bullet"/>
      <w:lvlText w:val=""/>
      <w:lvlJc w:val="left"/>
      <w:pPr>
        <w:tabs>
          <w:tab w:val="num" w:pos="432"/>
        </w:tabs>
        <w:ind w:left="432" w:hanging="432"/>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D12C33"/>
    <w:multiLevelType w:val="hybridMultilevel"/>
    <w:tmpl w:val="C3CE2BF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3A0810F7"/>
    <w:multiLevelType w:val="multilevel"/>
    <w:tmpl w:val="03647D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772E68BD"/>
    <w:multiLevelType w:val="multilevel"/>
    <w:tmpl w:val="D63EA9C6"/>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520" w:hanging="2160"/>
      </w:pPr>
      <w:rPr>
        <w:rFonts w:hint="default"/>
      </w:rPr>
    </w:lvl>
    <w:lvl w:ilvl="5">
      <w:start w:val="1"/>
      <w:numFmt w:val="decimal"/>
      <w:isLgl/>
      <w:lvlText w:val="%1.%2.%3.%4.%5.%6"/>
      <w:lvlJc w:val="left"/>
      <w:pPr>
        <w:ind w:left="2880" w:hanging="2520"/>
      </w:pPr>
      <w:rPr>
        <w:rFonts w:hint="default"/>
      </w:rPr>
    </w:lvl>
    <w:lvl w:ilvl="6">
      <w:start w:val="1"/>
      <w:numFmt w:val="decimal"/>
      <w:isLgl/>
      <w:lvlText w:val="%1.%2.%3.%4.%5.%6.%7"/>
      <w:lvlJc w:val="left"/>
      <w:pPr>
        <w:ind w:left="3240" w:hanging="2880"/>
      </w:pPr>
      <w:rPr>
        <w:rFonts w:hint="default"/>
      </w:rPr>
    </w:lvl>
    <w:lvl w:ilvl="7">
      <w:start w:val="1"/>
      <w:numFmt w:val="decimal"/>
      <w:isLgl/>
      <w:lvlText w:val="%1.%2.%3.%4.%5.%6.%7.%8"/>
      <w:lvlJc w:val="left"/>
      <w:pPr>
        <w:ind w:left="3600" w:hanging="3240"/>
      </w:pPr>
      <w:rPr>
        <w:rFonts w:hint="default"/>
      </w:rPr>
    </w:lvl>
    <w:lvl w:ilvl="8">
      <w:start w:val="1"/>
      <w:numFmt w:val="decimal"/>
      <w:isLgl/>
      <w:lvlText w:val="%1.%2.%3.%4.%5.%6.%7.%8.%9"/>
      <w:lvlJc w:val="left"/>
      <w:pPr>
        <w:ind w:left="3960" w:hanging="3600"/>
      </w:pPr>
      <w:rPr>
        <w:rFonts w:hint="default"/>
      </w:rPr>
    </w:lvl>
  </w:abstractNum>
  <w:num w:numId="1" w16cid:durableId="186449925">
    <w:abstractNumId w:val="4"/>
  </w:num>
  <w:num w:numId="2" w16cid:durableId="1784156693">
    <w:abstractNumId w:val="3"/>
  </w:num>
  <w:num w:numId="3" w16cid:durableId="728652233">
    <w:abstractNumId w:val="0"/>
  </w:num>
  <w:num w:numId="4" w16cid:durableId="830750631">
    <w:abstractNumId w:val="1"/>
  </w:num>
  <w:num w:numId="5" w16cid:durableId="8481014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97F"/>
    <w:rsid w:val="00036AF9"/>
    <w:rsid w:val="000B13C7"/>
    <w:rsid w:val="00151460"/>
    <w:rsid w:val="001B0E6D"/>
    <w:rsid w:val="001B3BE3"/>
    <w:rsid w:val="001F2272"/>
    <w:rsid w:val="00207AB3"/>
    <w:rsid w:val="002F6176"/>
    <w:rsid w:val="003327A3"/>
    <w:rsid w:val="0040179F"/>
    <w:rsid w:val="00476F02"/>
    <w:rsid w:val="004C207B"/>
    <w:rsid w:val="004F0188"/>
    <w:rsid w:val="005759E8"/>
    <w:rsid w:val="005D01DF"/>
    <w:rsid w:val="00640CE0"/>
    <w:rsid w:val="007271A8"/>
    <w:rsid w:val="007657C5"/>
    <w:rsid w:val="00775CAA"/>
    <w:rsid w:val="007869FB"/>
    <w:rsid w:val="0079697F"/>
    <w:rsid w:val="007C7C9C"/>
    <w:rsid w:val="00806D9D"/>
    <w:rsid w:val="00854359"/>
    <w:rsid w:val="008D1363"/>
    <w:rsid w:val="008D7BBA"/>
    <w:rsid w:val="009770E2"/>
    <w:rsid w:val="009E1892"/>
    <w:rsid w:val="009E731E"/>
    <w:rsid w:val="00A0407F"/>
    <w:rsid w:val="00A42980"/>
    <w:rsid w:val="00A65CF0"/>
    <w:rsid w:val="00AB3CDD"/>
    <w:rsid w:val="00AF1B49"/>
    <w:rsid w:val="00B63973"/>
    <w:rsid w:val="00B72DDC"/>
    <w:rsid w:val="00C72F59"/>
    <w:rsid w:val="00C875F3"/>
    <w:rsid w:val="00CC5476"/>
    <w:rsid w:val="00CF3DA8"/>
    <w:rsid w:val="00D173AF"/>
    <w:rsid w:val="00D42E8F"/>
    <w:rsid w:val="00D45CD0"/>
    <w:rsid w:val="00D57771"/>
    <w:rsid w:val="00DA4184"/>
    <w:rsid w:val="00DA45F1"/>
    <w:rsid w:val="00DB3E72"/>
    <w:rsid w:val="00DD64CA"/>
    <w:rsid w:val="00EA7716"/>
    <w:rsid w:val="00EB31EA"/>
    <w:rsid w:val="00F12A1B"/>
    <w:rsid w:val="00F35BB5"/>
    <w:rsid w:val="00F55DBB"/>
    <w:rsid w:val="00F6771C"/>
    <w:rsid w:val="00F72983"/>
    <w:rsid w:val="00F81A84"/>
    <w:rsid w:val="00FC0CFC"/>
    <w:rsid w:val="00FF6F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505FA91"/>
  <w15:chartTrackingRefBased/>
  <w15:docId w15:val="{FFF77312-46C4-D045-A2FD-4916CAB24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B3E72"/>
    <w:pPr>
      <w:spacing w:after="160" w:line="259" w:lineRule="auto"/>
    </w:pPr>
    <w:rPr>
      <w:rFonts w:ascii="Calibri" w:eastAsia="Calibri" w:hAnsi="Calibri" w:cs="Calibri"/>
      <w:kern w:val="0"/>
      <w:sz w:val="22"/>
      <w:szCs w:val="22"/>
      <w:lang w:val="it" w:eastAsia="it-IT"/>
      <w14:ligatures w14:val="none"/>
    </w:rPr>
  </w:style>
  <w:style w:type="paragraph" w:styleId="Titolo1">
    <w:name w:val="heading 1"/>
    <w:basedOn w:val="Normale"/>
    <w:next w:val="Normale"/>
    <w:link w:val="Titolo1Carattere"/>
    <w:uiPriority w:val="9"/>
    <w:qFormat/>
    <w:rsid w:val="0079697F"/>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unhideWhenUsed/>
    <w:qFormat/>
    <w:rsid w:val="0079697F"/>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79697F"/>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79697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9697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9697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9697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9697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9697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9697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79697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9697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9697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9697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9697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9697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9697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9697F"/>
    <w:rPr>
      <w:rFonts w:eastAsiaTheme="majorEastAsia" w:cstheme="majorBidi"/>
      <w:color w:val="272727" w:themeColor="text1" w:themeTint="D8"/>
    </w:rPr>
  </w:style>
  <w:style w:type="paragraph" w:styleId="Titolo">
    <w:name w:val="Title"/>
    <w:basedOn w:val="Normale"/>
    <w:next w:val="Normale"/>
    <w:link w:val="TitoloCarattere"/>
    <w:uiPriority w:val="10"/>
    <w:qFormat/>
    <w:rsid w:val="0079697F"/>
    <w:pPr>
      <w:spacing w:after="80" w:line="240" w:lineRule="auto"/>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79697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9697F"/>
    <w:pPr>
      <w:numPr>
        <w:ilvl w:val="1"/>
      </w:numPr>
      <w:spacing w:line="240"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79697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9697F"/>
    <w:pPr>
      <w:spacing w:before="160" w:line="240"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79697F"/>
    <w:rPr>
      <w:i/>
      <w:iCs/>
      <w:color w:val="404040" w:themeColor="text1" w:themeTint="BF"/>
    </w:rPr>
  </w:style>
  <w:style w:type="paragraph" w:styleId="Paragrafoelenco">
    <w:name w:val="List Paragraph"/>
    <w:basedOn w:val="Normale"/>
    <w:uiPriority w:val="34"/>
    <w:qFormat/>
    <w:rsid w:val="0079697F"/>
    <w:pPr>
      <w:spacing w:after="0" w:line="240"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79697F"/>
    <w:rPr>
      <w:i/>
      <w:iCs/>
      <w:color w:val="0F4761" w:themeColor="accent1" w:themeShade="BF"/>
    </w:rPr>
  </w:style>
  <w:style w:type="paragraph" w:styleId="Citazioneintensa">
    <w:name w:val="Intense Quote"/>
    <w:basedOn w:val="Normale"/>
    <w:next w:val="Normale"/>
    <w:link w:val="CitazioneintensaCarattere"/>
    <w:uiPriority w:val="30"/>
    <w:qFormat/>
    <w:rsid w:val="0079697F"/>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79697F"/>
    <w:rPr>
      <w:i/>
      <w:iCs/>
      <w:color w:val="0F4761" w:themeColor="accent1" w:themeShade="BF"/>
    </w:rPr>
  </w:style>
  <w:style w:type="character" w:styleId="Riferimentointenso">
    <w:name w:val="Intense Reference"/>
    <w:basedOn w:val="Carpredefinitoparagrafo"/>
    <w:uiPriority w:val="32"/>
    <w:qFormat/>
    <w:rsid w:val="0079697F"/>
    <w:rPr>
      <w:b/>
      <w:bCs/>
      <w:smallCaps/>
      <w:color w:val="0F4761" w:themeColor="accent1" w:themeShade="BF"/>
      <w:spacing w:val="5"/>
    </w:rPr>
  </w:style>
  <w:style w:type="paragraph" w:styleId="Intestazione">
    <w:name w:val="header"/>
    <w:basedOn w:val="Normale"/>
    <w:link w:val="IntestazioneCarattere"/>
    <w:uiPriority w:val="99"/>
    <w:unhideWhenUsed/>
    <w:rsid w:val="0079697F"/>
    <w:pPr>
      <w:tabs>
        <w:tab w:val="center" w:pos="4819"/>
        <w:tab w:val="right" w:pos="9638"/>
      </w:tabs>
      <w:spacing w:after="0" w:line="240" w:lineRule="auto"/>
    </w:pPr>
    <w:rPr>
      <w:rFonts w:asciiTheme="minorHAnsi" w:eastAsiaTheme="minorHAnsi" w:hAnsiTheme="minorHAnsi" w:cstheme="minorBidi"/>
      <w:kern w:val="2"/>
      <w:sz w:val="24"/>
      <w:szCs w:val="24"/>
      <w:lang w:val="it-IT" w:eastAsia="en-US"/>
      <w14:ligatures w14:val="standardContextual"/>
    </w:rPr>
  </w:style>
  <w:style w:type="character" w:customStyle="1" w:styleId="IntestazioneCarattere">
    <w:name w:val="Intestazione Carattere"/>
    <w:basedOn w:val="Carpredefinitoparagrafo"/>
    <w:link w:val="Intestazione"/>
    <w:uiPriority w:val="99"/>
    <w:rsid w:val="0079697F"/>
  </w:style>
  <w:style w:type="paragraph" w:styleId="Pidipagina">
    <w:name w:val="footer"/>
    <w:basedOn w:val="Normale"/>
    <w:link w:val="PidipaginaCarattere"/>
    <w:uiPriority w:val="99"/>
    <w:unhideWhenUsed/>
    <w:rsid w:val="0079697F"/>
    <w:pPr>
      <w:tabs>
        <w:tab w:val="center" w:pos="4819"/>
        <w:tab w:val="right" w:pos="9638"/>
      </w:tabs>
    </w:pPr>
  </w:style>
  <w:style w:type="character" w:customStyle="1" w:styleId="PidipaginaCarattere">
    <w:name w:val="Piè di pagina Carattere"/>
    <w:basedOn w:val="Carpredefinitoparagrafo"/>
    <w:link w:val="Pidipagina"/>
    <w:uiPriority w:val="99"/>
    <w:rsid w:val="0079697F"/>
  </w:style>
  <w:style w:type="paragraph" w:styleId="Testonotaapidipagina">
    <w:name w:val="footnote text"/>
    <w:basedOn w:val="Normale"/>
    <w:link w:val="TestonotaapidipaginaCarattere"/>
    <w:uiPriority w:val="99"/>
    <w:unhideWhenUsed/>
    <w:rsid w:val="00F6771C"/>
    <w:pPr>
      <w:spacing w:after="0" w:line="240" w:lineRule="auto"/>
      <w:jc w:val="both"/>
    </w:pPr>
    <w:rPr>
      <w:rFonts w:ascii="Times New Roman" w:eastAsiaTheme="minorHAnsi" w:hAnsi="Times New Roman" w:cstheme="minorBidi"/>
      <w:sz w:val="18"/>
      <w:szCs w:val="20"/>
      <w:lang w:eastAsia="ja-JP"/>
    </w:rPr>
  </w:style>
  <w:style w:type="character" w:customStyle="1" w:styleId="TestonotaapidipaginaCarattere">
    <w:name w:val="Testo nota a piè di pagina Carattere"/>
    <w:basedOn w:val="Carpredefinitoparagrafo"/>
    <w:link w:val="Testonotaapidipagina"/>
    <w:uiPriority w:val="99"/>
    <w:rsid w:val="00F6771C"/>
    <w:rPr>
      <w:rFonts w:ascii="Times New Roman" w:hAnsi="Times New Roman"/>
      <w:kern w:val="0"/>
      <w:sz w:val="18"/>
      <w:szCs w:val="20"/>
      <w:lang w:val="it" w:eastAsia="ja-JP"/>
      <w14:ligatures w14:val="none"/>
    </w:rPr>
  </w:style>
  <w:style w:type="character" w:styleId="Rimandonotaapidipagina">
    <w:name w:val="footnote reference"/>
    <w:basedOn w:val="Carpredefinitoparagrafo"/>
    <w:uiPriority w:val="99"/>
    <w:semiHidden/>
    <w:unhideWhenUsed/>
    <w:rsid w:val="00F6771C"/>
    <w:rPr>
      <w:vertAlign w:val="superscript"/>
    </w:rPr>
  </w:style>
  <w:style w:type="table" w:styleId="Grigliatabella">
    <w:name w:val="Table Grid"/>
    <w:basedOn w:val="Tabellanormale"/>
    <w:uiPriority w:val="39"/>
    <w:rsid w:val="000B13C7"/>
    <w:rPr>
      <w:rFonts w:ascii="Calibri" w:eastAsia="Times New Roman" w:hAnsi="Calibri" w:cs="Times New Roman"/>
      <w:kern w:val="0"/>
      <w:sz w:val="20"/>
      <w:szCs w:val="20"/>
      <w:lang w:val="it"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styleId="Puntoelenco">
    <w:name w:val="List Bullet"/>
    <w:basedOn w:val="Normale"/>
    <w:uiPriority w:val="9"/>
    <w:qFormat/>
    <w:rsid w:val="000B13C7"/>
    <w:pPr>
      <w:numPr>
        <w:numId w:val="3"/>
      </w:numPr>
      <w:tabs>
        <w:tab w:val="clear" w:pos="360"/>
        <w:tab w:val="num" w:pos="432"/>
      </w:tabs>
      <w:spacing w:before="120" w:after="120" w:line="240" w:lineRule="auto"/>
      <w:ind w:left="0" w:firstLine="0"/>
      <w:contextualSpacing/>
      <w:jc w:val="both"/>
    </w:pPr>
    <w:rPr>
      <w:rFonts w:ascii="Times New Roman" w:eastAsiaTheme="minorHAnsi" w:hAnsi="Times New Roman" w:cstheme="minorBidi"/>
      <w:szCs w:val="30"/>
      <w:lang w:eastAsia="ja-JP"/>
    </w:rPr>
  </w:style>
  <w:style w:type="paragraph" w:styleId="Didascalia">
    <w:name w:val="caption"/>
    <w:basedOn w:val="Normale"/>
    <w:next w:val="Normale"/>
    <w:uiPriority w:val="35"/>
    <w:unhideWhenUsed/>
    <w:qFormat/>
    <w:rsid w:val="000B13C7"/>
    <w:pPr>
      <w:keepNext/>
      <w:spacing w:before="240" w:after="0" w:line="240" w:lineRule="auto"/>
      <w:jc w:val="both"/>
    </w:pPr>
    <w:rPr>
      <w:rFonts w:ascii="Times New Roman" w:eastAsiaTheme="minorHAnsi" w:hAnsi="Times New Roman" w:cstheme="minorBidi"/>
      <w:i/>
      <w:iCs/>
      <w:sz w:val="20"/>
      <w:szCs w:val="1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7</Pages>
  <Words>2408</Words>
  <Characters>13732</Characters>
  <Application>Microsoft Office Word</Application>
  <DocSecurity>0</DocSecurity>
  <Lines>114</Lines>
  <Paragraphs>32</Paragraphs>
  <ScaleCrop>false</ScaleCrop>
  <Company/>
  <LinksUpToDate>false</LinksUpToDate>
  <CharactersWithSpaces>16108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corradodecristofaro0@gmail.com</dc:creator>
  <cp:keywords/>
  <dc:description/>
  <cp:lastModifiedBy>corradodecristofaro0@gmail.com</cp:lastModifiedBy>
  <cp:revision>24</cp:revision>
  <dcterms:created xsi:type="dcterms:W3CDTF">2025-09-29T20:31:00Z</dcterms:created>
  <dcterms:modified xsi:type="dcterms:W3CDTF">2025-10-01T15:26:00Z</dcterms:modified>
</cp:coreProperties>
</file>