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97CCF" w14:textId="77777777" w:rsidR="00DD64CA" w:rsidRPr="007C7C9C" w:rsidRDefault="00DD64CA" w:rsidP="007C7C9C">
      <w:pPr>
        <w:pStyle w:val="Titolo2"/>
        <w:jc w:val="center"/>
        <w:rPr>
          <w:rFonts w:ascii="Poppins" w:hAnsi="Poppins" w:cs="Poppins"/>
          <w:color w:val="124F1A" w:themeColor="accent3" w:themeShade="BF"/>
          <w:sz w:val="36"/>
          <w:szCs w:val="36"/>
          <w:lang w:val="en-GB"/>
        </w:rPr>
      </w:pPr>
      <w:bookmarkStart w:id="0" w:name="_Toc188282649"/>
    </w:p>
    <w:p w14:paraId="76E66D3D" w14:textId="41D55AC2" w:rsidR="008D7BBA" w:rsidRDefault="008D7BBA" w:rsidP="008D7BBA">
      <w:pPr>
        <w:pStyle w:val="Titolo2"/>
        <w:jc w:val="center"/>
        <w:rPr>
          <w:rFonts w:ascii="Poppins" w:hAnsi="Poppins" w:cs="Poppins"/>
          <w:color w:val="124F1A" w:themeColor="accent3" w:themeShade="BF"/>
          <w:sz w:val="36"/>
          <w:szCs w:val="36"/>
          <w:lang w:val="en-GB"/>
        </w:rPr>
      </w:pPr>
      <w:bookmarkStart w:id="1" w:name="_Toc188282653"/>
      <w:bookmarkEnd w:id="0"/>
      <w:r w:rsidRPr="008D7BBA">
        <w:rPr>
          <w:rFonts w:ascii="Poppins" w:hAnsi="Poppins" w:cs="Poppins"/>
          <w:color w:val="124F1A" w:themeColor="accent3" w:themeShade="BF"/>
          <w:sz w:val="36"/>
          <w:szCs w:val="36"/>
          <w:lang w:val="en-GB"/>
        </w:rPr>
        <w:t>Spesa dell'economia d'argento</w:t>
      </w:r>
      <w:bookmarkEnd w:id="1"/>
    </w:p>
    <w:p w14:paraId="768D34BE" w14:textId="77777777" w:rsidR="008D7BBA" w:rsidRPr="008D7BBA" w:rsidRDefault="008D7BBA" w:rsidP="008D7BBA">
      <w:pPr>
        <w:rPr>
          <w:lang w:val="en-GB" w:eastAsia="en-US"/>
        </w:rPr>
      </w:pPr>
    </w:p>
    <w:p w14:paraId="00F9B679" w14:textId="77777777" w:rsidR="008D7BBA" w:rsidRPr="008B346E" w:rsidRDefault="008D7BBA" w:rsidP="008D7BBA">
      <w:pPr>
        <w:jc w:val="both"/>
        <w:rPr>
          <w:rFonts w:ascii="Poppins" w:hAnsi="Poppins" w:cs="Poppins"/>
          <w:sz w:val="20"/>
          <w:szCs w:val="20"/>
          <w:lang w:val="en-GB"/>
        </w:rPr>
      </w:pPr>
      <w:r w:rsidRPr="008B346E">
        <w:rPr>
          <w:rFonts w:ascii="Poppins" w:hAnsi="Poppins" w:cs="Poppins"/>
          <w:sz w:val="20"/>
          <w:szCs w:val="20"/>
          <w:lang w:val="en-GB"/>
        </w:rPr>
        <w:t>Come descritto nel Capitolo 3.2, l'interesse per la silver economy in Europa è stato plasmato da rapporti e documenti politici in cui gli autori propongono stime – a volte piuttosto audaci – del volume finanziario generato dall'insieme delle attività economiche rivolte agli anziani (Nahal &amp; Ma Beijia, 2014; Oxford Economics, 2013, 2016). Con il supporto consultivo di Oxford Economics, anche la Commissione Europea stessa si è impegnata in tali esercizi, i cui risultati appaiono più propagandistici che metodologicamente rigorosi (Commissione Europea, 2018). Di seguito è riportato un riepilogo di esempi di metodi e tentativi di stima contenuti in questi documenti.</w:t>
      </w:r>
    </w:p>
    <w:p w14:paraId="06D9F66F" w14:textId="77777777" w:rsidR="008D7BBA" w:rsidRPr="008B346E" w:rsidRDefault="008D7BBA" w:rsidP="008D7BBA">
      <w:pPr>
        <w:pStyle w:val="Citazione"/>
        <w:rPr>
          <w:rFonts w:ascii="Poppins" w:hAnsi="Poppins" w:cs="Poppins"/>
          <w:szCs w:val="20"/>
          <w:lang w:val="en-GB"/>
        </w:rPr>
      </w:pPr>
      <w:r w:rsidRPr="008B346E">
        <w:rPr>
          <w:rFonts w:ascii="Poppins" w:hAnsi="Poppins" w:cs="Poppins"/>
          <w:szCs w:val="20"/>
          <w:lang w:val="en-GB"/>
        </w:rPr>
        <w:t>L'economia della longevità sta diventando una forza economica sempre più potente, che comprende sia l'attività economica al servizio dei bisogni e dei desideri della popolazione globale over 50, sia i prodotti e servizi acquistati direttamente, sia l'indotto economico che ne deriva (posti di lavoro, salari, produttività, tasse, donazioni di beneficenza e così via). Si stima che la dimensione della sola economia della longevità negli Stati Uniti sia di 7,1 trilioni di dollari, il che la rende la terza economia mondiale (Nahal, S. e Ma Beijia, 2014).</w:t>
      </w:r>
    </w:p>
    <w:p w14:paraId="72CFB5D2" w14:textId="77777777" w:rsidR="008D7BBA" w:rsidRPr="008B346E" w:rsidRDefault="008D7BBA" w:rsidP="008D7BBA">
      <w:pPr>
        <w:pStyle w:val="Citazione"/>
        <w:rPr>
          <w:rFonts w:ascii="Poppins" w:hAnsi="Poppins" w:cs="Poppins"/>
          <w:szCs w:val="20"/>
          <w:lang w:val="en-GB"/>
        </w:rPr>
      </w:pPr>
    </w:p>
    <w:p w14:paraId="257F3928" w14:textId="77777777" w:rsidR="008D7BBA" w:rsidRPr="008B346E" w:rsidRDefault="008D7BBA" w:rsidP="008D7BBA">
      <w:pPr>
        <w:pStyle w:val="Citazione"/>
        <w:rPr>
          <w:rFonts w:ascii="Poppins" w:hAnsi="Poppins" w:cs="Poppins"/>
          <w:color w:val="000000"/>
          <w:szCs w:val="20"/>
          <w:lang w:val="en-GB"/>
        </w:rPr>
      </w:pPr>
      <w:r w:rsidRPr="008B346E">
        <w:rPr>
          <w:rFonts w:ascii="Poppins" w:hAnsi="Poppins" w:cs="Poppins"/>
          <w:szCs w:val="20"/>
          <w:lang w:val="en-GB"/>
        </w:rPr>
        <w:t xml:space="preserve">In tutta l'UE, nel 2015, c'erano circa 199 milioni di individui di età pari o superiore a 50 anni […]. In totale, questi individui hanno consumato 3,7 trilioni di euro di beni e servizi nel 2015. La maggior parte (poco meno del 90%) di questa spesa è stata finanziata privatamente dai membri della Silver Economy, utilizzando i loro guadagni, risparmi e trasferimenti dal governo. La parte restante è stata pagata direttamente dal settore pubblico, ad esempio quando una persona anziana utilizza servizi sanitari forniti gratuitamente al punto di erogazione dallo Stato. […] Il contributo diretto al PIL dei paesi dell'UE fornito dalla Silver Economy è stato pari a 1,7 trilioni di euro nel 2015, con ulteriori 1,5 trilioni di euro provenienti indirettamente e 1 trilione di euro indotti dalla spesa aggiuntiva dei dipendenti. Questa impronta complessiva di 4,2 trilioni di euro ha rappresentato il 28,8% del PIL totale dell'UE nel 2015. Attraverso questa attività economica, nel 2015 sono stati sostenuti complessivamente 78 milioni di posti di lavoro, 30 milioni dei quali derivanti dall'effetto diretto. Ciò equivale al 35,3% dell'occupazione nell'UE </w:t>
      </w:r>
      <w:r w:rsidRPr="008B346E">
        <w:rPr>
          <w:rFonts w:ascii="Poppins" w:hAnsi="Poppins" w:cs="Poppins"/>
          <w:color w:val="000000"/>
          <w:szCs w:val="20"/>
          <w:lang w:val="en-GB"/>
        </w:rPr>
        <w:t>(Commissione europea, 2018).</w:t>
      </w:r>
    </w:p>
    <w:p w14:paraId="1CC07924" w14:textId="77777777" w:rsidR="008D7BBA" w:rsidRPr="008B346E" w:rsidRDefault="008D7BBA" w:rsidP="008D7BBA">
      <w:pPr>
        <w:jc w:val="both"/>
        <w:rPr>
          <w:rFonts w:ascii="Poppins" w:hAnsi="Poppins" w:cs="Poppins"/>
          <w:sz w:val="20"/>
          <w:szCs w:val="20"/>
          <w:lang w:val="en-GB"/>
        </w:rPr>
      </w:pPr>
      <w:r w:rsidRPr="008B346E">
        <w:rPr>
          <w:rFonts w:ascii="Poppins" w:hAnsi="Poppins" w:cs="Poppins"/>
          <w:sz w:val="20"/>
          <w:szCs w:val="20"/>
          <w:lang w:val="en-GB"/>
        </w:rPr>
        <w:t xml:space="preserve">È interessante notare che, mentre </w:t>
      </w:r>
      <w:r w:rsidRPr="008B346E">
        <w:rPr>
          <w:rFonts w:ascii="Poppins" w:hAnsi="Poppins" w:cs="Poppins"/>
          <w:b/>
          <w:bCs/>
          <w:color w:val="156082" w:themeColor="accent1"/>
          <w:sz w:val="20"/>
          <w:szCs w:val="20"/>
          <w:lang w:val="en-GB"/>
        </w:rPr>
        <w:t>la spesa pubblica</w:t>
      </w:r>
      <w:r w:rsidRPr="008B346E">
        <w:rPr>
          <w:rFonts w:ascii="Poppins" w:hAnsi="Poppins" w:cs="Poppins"/>
          <w:color w:val="156082" w:themeColor="accent1"/>
          <w:sz w:val="20"/>
          <w:szCs w:val="20"/>
          <w:lang w:val="en-GB"/>
        </w:rPr>
        <w:t xml:space="preserve"> </w:t>
      </w:r>
      <w:r w:rsidRPr="008B346E">
        <w:rPr>
          <w:rFonts w:ascii="Poppins" w:hAnsi="Poppins" w:cs="Poppins"/>
          <w:sz w:val="20"/>
          <w:szCs w:val="20"/>
          <w:lang w:val="en-GB"/>
        </w:rPr>
        <w:t xml:space="preserve">sul welfare è calcolato come un costo e considerato un </w:t>
      </w:r>
      <w:r w:rsidRPr="008B346E">
        <w:rPr>
          <w:rFonts w:ascii="Poppins" w:hAnsi="Poppins" w:cs="Poppins"/>
          <w:b/>
          <w:bCs/>
          <w:color w:val="156082" w:themeColor="accent1"/>
          <w:sz w:val="20"/>
          <w:szCs w:val="20"/>
          <w:lang w:val="en-GB"/>
        </w:rPr>
        <w:t xml:space="preserve">fattore scoraggiante </w:t>
      </w:r>
      <w:r w:rsidRPr="008B346E">
        <w:rPr>
          <w:rFonts w:ascii="Poppins" w:hAnsi="Poppins" w:cs="Poppins"/>
          <w:sz w:val="20"/>
          <w:szCs w:val="20"/>
          <w:lang w:val="en-GB"/>
        </w:rPr>
        <w:t xml:space="preserve">per l'economia d'argento, </w:t>
      </w:r>
      <w:r w:rsidRPr="008B346E">
        <w:rPr>
          <w:rFonts w:ascii="Poppins" w:hAnsi="Poppins" w:cs="Poppins"/>
          <w:b/>
          <w:bCs/>
          <w:color w:val="156082" w:themeColor="accent1"/>
          <w:sz w:val="20"/>
          <w:szCs w:val="20"/>
          <w:lang w:val="en-GB"/>
        </w:rPr>
        <w:t>la spesa privata</w:t>
      </w:r>
      <w:r w:rsidRPr="008B346E">
        <w:rPr>
          <w:rFonts w:ascii="Poppins" w:hAnsi="Poppins" w:cs="Poppins"/>
          <w:color w:val="156082" w:themeColor="accent1"/>
          <w:sz w:val="20"/>
          <w:szCs w:val="20"/>
          <w:lang w:val="en-GB"/>
        </w:rPr>
        <w:t xml:space="preserve"> </w:t>
      </w:r>
      <w:r w:rsidRPr="008B346E">
        <w:rPr>
          <w:rFonts w:ascii="Poppins" w:hAnsi="Poppins" w:cs="Poppins"/>
          <w:sz w:val="20"/>
          <w:szCs w:val="20"/>
          <w:lang w:val="en-GB"/>
        </w:rPr>
        <w:t xml:space="preserve">su prodotti e </w:t>
      </w:r>
      <w:r w:rsidRPr="008B346E">
        <w:rPr>
          <w:rFonts w:ascii="Poppins" w:hAnsi="Poppins" w:cs="Poppins"/>
          <w:sz w:val="20"/>
          <w:szCs w:val="20"/>
          <w:lang w:val="en-GB"/>
        </w:rPr>
        <w:lastRenderedPageBreak/>
        <w:t xml:space="preserve">servizi analoghi sul mercato è considerato un </w:t>
      </w:r>
      <w:r w:rsidRPr="008B346E">
        <w:rPr>
          <w:rFonts w:ascii="Poppins" w:hAnsi="Poppins" w:cs="Poppins"/>
          <w:b/>
          <w:bCs/>
          <w:color w:val="156082" w:themeColor="accent1"/>
          <w:sz w:val="20"/>
          <w:szCs w:val="20"/>
          <w:lang w:val="en-GB"/>
        </w:rPr>
        <w:t>fattore stimolante</w:t>
      </w:r>
      <w:r w:rsidRPr="008B346E">
        <w:rPr>
          <w:rFonts w:ascii="Poppins" w:hAnsi="Poppins" w:cs="Poppins"/>
          <w:color w:val="156082" w:themeColor="accent1"/>
          <w:sz w:val="20"/>
          <w:szCs w:val="20"/>
          <w:lang w:val="en-GB"/>
        </w:rPr>
        <w:t xml:space="preserve"> </w:t>
      </w:r>
      <w:r w:rsidRPr="008B346E">
        <w:rPr>
          <w:rFonts w:ascii="Poppins" w:hAnsi="Poppins" w:cs="Poppins"/>
          <w:sz w:val="20"/>
          <w:szCs w:val="20"/>
          <w:lang w:val="en-GB"/>
        </w:rPr>
        <w:t xml:space="preserve">per la crescita economica (Nahal &amp; Ma Beijia, 2014; Oxford Economics, 2013, 2016). In queste narrazioni sull'economia dell'argento, il valore complessivo di questa economia è calcolato come la somma dei consumi della popolazione anziana nel mercato dell'argento ( </w:t>
      </w:r>
      <w:r w:rsidRPr="008B346E">
        <w:rPr>
          <w:rFonts w:ascii="Poppins" w:hAnsi="Poppins" w:cs="Poppins"/>
          <w:b/>
          <w:bCs/>
          <w:i/>
          <w:iCs/>
          <w:color w:val="156082" w:themeColor="accent1"/>
          <w:sz w:val="20"/>
          <w:szCs w:val="20"/>
          <w:lang w:val="en-GB"/>
        </w:rPr>
        <w:t xml:space="preserve">impatti diretti </w:t>
      </w:r>
      <w:r w:rsidRPr="008B346E">
        <w:rPr>
          <w:rFonts w:ascii="Poppins" w:hAnsi="Poppins" w:cs="Poppins"/>
          <w:sz w:val="20"/>
          <w:szCs w:val="20"/>
          <w:lang w:val="en-GB"/>
        </w:rPr>
        <w:t xml:space="preserve">), combinata con una stima degli impatti </w:t>
      </w:r>
      <w:r w:rsidRPr="008B346E">
        <w:rPr>
          <w:rFonts w:ascii="Poppins" w:hAnsi="Poppins" w:cs="Poppins"/>
          <w:b/>
          <w:bCs/>
          <w:i/>
          <w:iCs/>
          <w:color w:val="156082" w:themeColor="accent1"/>
          <w:sz w:val="20"/>
          <w:szCs w:val="20"/>
          <w:lang w:val="en-GB"/>
        </w:rPr>
        <w:t>indiretti</w:t>
      </w:r>
      <w:r w:rsidRPr="008B346E">
        <w:rPr>
          <w:rFonts w:ascii="Poppins" w:hAnsi="Poppins" w:cs="Poppins"/>
          <w:color w:val="156082" w:themeColor="accent1"/>
          <w:sz w:val="20"/>
          <w:szCs w:val="20"/>
          <w:lang w:val="en-GB"/>
        </w:rPr>
        <w:t xml:space="preserve"> </w:t>
      </w:r>
      <w:r w:rsidRPr="008B346E">
        <w:rPr>
          <w:rFonts w:ascii="Poppins" w:hAnsi="Poppins" w:cs="Poppins"/>
          <w:sz w:val="20"/>
          <w:szCs w:val="20"/>
          <w:lang w:val="en-GB"/>
        </w:rPr>
        <w:t xml:space="preserve">e </w:t>
      </w:r>
      <w:r w:rsidRPr="008B346E">
        <w:rPr>
          <w:rFonts w:ascii="Poppins" w:hAnsi="Poppins" w:cs="Poppins"/>
          <w:b/>
          <w:bCs/>
          <w:i/>
          <w:iCs/>
          <w:color w:val="156082" w:themeColor="accent1"/>
          <w:sz w:val="20"/>
          <w:szCs w:val="20"/>
          <w:lang w:val="en-GB"/>
        </w:rPr>
        <w:t>impatto indotto</w:t>
      </w:r>
      <w:r w:rsidRPr="008B346E">
        <w:rPr>
          <w:rFonts w:ascii="Poppins" w:hAnsi="Poppins" w:cs="Poppins"/>
          <w:color w:val="156082" w:themeColor="accent1"/>
          <w:sz w:val="20"/>
          <w:szCs w:val="20"/>
          <w:lang w:val="en-GB"/>
        </w:rPr>
        <w:t xml:space="preserve"> </w:t>
      </w:r>
      <w:r w:rsidRPr="008B346E">
        <w:rPr>
          <w:rFonts w:ascii="Poppins" w:hAnsi="Poppins" w:cs="Poppins"/>
          <w:sz w:val="20"/>
          <w:szCs w:val="20"/>
          <w:lang w:val="en-GB"/>
        </w:rPr>
        <w:t xml:space="preserve">di questo consumo sulla crescita economica </w:t>
      </w:r>
      <w:r w:rsidRPr="008B346E">
        <w:rPr>
          <w:rStyle w:val="Rimandonotaapidipagina"/>
          <w:rFonts w:ascii="Poppins" w:hAnsi="Poppins" w:cs="Poppins"/>
          <w:sz w:val="20"/>
          <w:szCs w:val="20"/>
          <w:lang w:val="en-GB"/>
        </w:rPr>
        <w:footnoteReference w:id="1"/>
      </w:r>
      <w:r w:rsidRPr="008B346E">
        <w:rPr>
          <w:rFonts w:ascii="Poppins" w:hAnsi="Poppins" w:cs="Poppins"/>
          <w:sz w:val="20"/>
          <w:szCs w:val="20"/>
          <w:lang w:val="en-GB"/>
        </w:rPr>
        <w:t>.</w:t>
      </w:r>
    </w:p>
    <w:p w14:paraId="1EF42A1B" w14:textId="77777777" w:rsidR="008D7BBA" w:rsidRPr="008B346E" w:rsidRDefault="008D7BBA" w:rsidP="008D7BBA">
      <w:pPr>
        <w:pStyle w:val="Citazione"/>
        <w:rPr>
          <w:rFonts w:ascii="Poppins" w:hAnsi="Poppins" w:cs="Poppins"/>
          <w:szCs w:val="20"/>
          <w:lang w:val="en-GB"/>
        </w:rPr>
      </w:pPr>
      <w:r w:rsidRPr="008B346E">
        <w:rPr>
          <w:rFonts w:ascii="Poppins" w:hAnsi="Poppins" w:cs="Poppins"/>
          <w:szCs w:val="20"/>
          <w:lang w:val="en-GB"/>
        </w:rPr>
        <w:t>Impatti diretti: si riferiscono alle attività che si svolgono in loco presso le organizzazioni che forniscono i beni e i servizi consumati dagli individui nella Silver Economy.</w:t>
      </w:r>
    </w:p>
    <w:p w14:paraId="180000FD" w14:textId="77777777" w:rsidR="008D7BBA" w:rsidRPr="008B346E" w:rsidRDefault="008D7BBA" w:rsidP="008D7BBA">
      <w:pPr>
        <w:pStyle w:val="Citazione"/>
        <w:rPr>
          <w:rFonts w:ascii="Poppins" w:hAnsi="Poppins" w:cs="Poppins"/>
          <w:szCs w:val="20"/>
          <w:lang w:val="en-GB"/>
        </w:rPr>
      </w:pPr>
      <w:r w:rsidRPr="008B346E">
        <w:rPr>
          <w:rFonts w:ascii="Poppins" w:hAnsi="Poppins" w:cs="Poppins"/>
          <w:szCs w:val="20"/>
          <w:lang w:val="en-GB"/>
        </w:rPr>
        <w:t>Impatti indiretti: riflettono l'attività supportata lungo le catene di fornitura dei fornitori diretti</w:t>
      </w:r>
    </w:p>
    <w:p w14:paraId="53329FB5" w14:textId="77777777" w:rsidR="008D7BBA" w:rsidRPr="008B346E" w:rsidRDefault="008D7BBA" w:rsidP="008D7BBA">
      <w:pPr>
        <w:pStyle w:val="Citazione"/>
        <w:rPr>
          <w:rFonts w:ascii="Poppins" w:hAnsi="Poppins" w:cs="Poppins"/>
          <w:color w:val="000000"/>
          <w:szCs w:val="20"/>
          <w:lang w:val="en-GB"/>
        </w:rPr>
      </w:pPr>
      <w:r w:rsidRPr="008B346E">
        <w:rPr>
          <w:rFonts w:ascii="Poppins" w:hAnsi="Poppins" w:cs="Poppins"/>
          <w:szCs w:val="20"/>
          <w:lang w:val="en-GB"/>
        </w:rPr>
        <w:t xml:space="preserve">Impatti indotti: il contributo dato da coloro che sono impiegati direttamente o indirettamente quando spendono i loro guadagni nell'economia dei consumi più ampia </w:t>
      </w:r>
      <w:r w:rsidRPr="008B346E">
        <w:rPr>
          <w:rFonts w:ascii="Poppins" w:hAnsi="Poppins" w:cs="Poppins"/>
          <w:color w:val="000000"/>
          <w:szCs w:val="20"/>
          <w:lang w:val="en-GB"/>
        </w:rPr>
        <w:t>(Commissione europea, 2015, pag. 8).</w:t>
      </w:r>
    </w:p>
    <w:p w14:paraId="5825CCA0" w14:textId="77777777" w:rsidR="008D7BBA" w:rsidRPr="008B346E" w:rsidRDefault="008D7BBA" w:rsidP="008D7BBA">
      <w:pPr>
        <w:jc w:val="both"/>
        <w:rPr>
          <w:rFonts w:ascii="Poppins" w:hAnsi="Poppins" w:cs="Poppins"/>
          <w:sz w:val="20"/>
          <w:szCs w:val="20"/>
          <w:lang w:val="en-GB"/>
        </w:rPr>
      </w:pPr>
      <w:r w:rsidRPr="008B346E">
        <w:rPr>
          <w:rFonts w:ascii="Poppins" w:hAnsi="Poppins" w:cs="Poppins"/>
          <w:sz w:val="20"/>
          <w:szCs w:val="20"/>
          <w:lang w:val="en-GB"/>
        </w:rPr>
        <w:t xml:space="preserve">Ciò è in linea con la definizione di economia d'argento come «la somma di tutte le attività economiche che soddisfano i bisogni delle persone di età pari o superiore a 50 anni, compresi i prodotti e i servizi che acquistano direttamente e l'ulteriore attività economica che questa spesa genera» </w:t>
      </w:r>
      <w:r w:rsidRPr="008B346E">
        <w:rPr>
          <w:rFonts w:ascii="Poppins" w:hAnsi="Poppins" w:cs="Poppins"/>
          <w:color w:val="000000"/>
          <w:sz w:val="20"/>
          <w:szCs w:val="20"/>
          <w:lang w:val="en-GB"/>
        </w:rPr>
        <w:t>(Commissione europea, 2018).</w:t>
      </w:r>
    </w:p>
    <w:p w14:paraId="3D280937" w14:textId="77777777" w:rsidR="008D7BBA" w:rsidRPr="008B346E" w:rsidRDefault="008D7BBA" w:rsidP="008D7BBA">
      <w:pPr>
        <w:jc w:val="both"/>
        <w:rPr>
          <w:rFonts w:ascii="Poppins" w:hAnsi="Poppins" w:cs="Poppins"/>
          <w:sz w:val="20"/>
          <w:szCs w:val="20"/>
          <w:lang w:val="en-GB"/>
        </w:rPr>
      </w:pPr>
      <w:r w:rsidRPr="008B346E">
        <w:rPr>
          <w:rFonts w:ascii="Poppins" w:hAnsi="Poppins" w:cs="Poppins"/>
          <w:sz w:val="20"/>
          <w:szCs w:val="20"/>
          <w:lang w:val="en-GB"/>
        </w:rPr>
        <w:t>Sulla base di questo modello, inizialmente proposto da Oxford Economics (2013), la società di consulenza Lattanzio Advisory Spa, per conto del Silver Economy Network, ha fornito una stima indicativa dell'impatto della silver economy in Italia per il 2016, pur lavorando "in assenza di dati" e "basandosi su evidenze americane". Secondo la loro stima, la silver economy ha contribuito al PIL italiano per 620 miliardi di euro (pari al 37%) e ha creato 12 milioni di posti di lavoro (oltre il 50% dell'occupazione totale in Italia). Di questa cifra, solo una parte minore si riferisce all'impatto diretto (180 miliardi di euro), sebbene con la quota di occupazione più elevata (5 milioni di posti di lavoro) (Silver Economy Network, 2017).</w:t>
      </w:r>
    </w:p>
    <w:p w14:paraId="43F65CD2" w14:textId="77777777" w:rsidR="008D7BBA" w:rsidRPr="008B346E" w:rsidRDefault="008D7BBA" w:rsidP="008D7BBA">
      <w:pPr>
        <w:jc w:val="both"/>
        <w:rPr>
          <w:rFonts w:ascii="Poppins" w:hAnsi="Poppins" w:cs="Poppins"/>
          <w:sz w:val="20"/>
          <w:szCs w:val="20"/>
          <w:lang w:val="en-GB"/>
        </w:rPr>
      </w:pPr>
      <w:r w:rsidRPr="008B346E">
        <w:rPr>
          <w:rFonts w:ascii="Poppins" w:hAnsi="Poppins" w:cs="Poppins"/>
          <w:sz w:val="20"/>
          <w:szCs w:val="20"/>
          <w:lang w:val="en-GB"/>
        </w:rPr>
        <w:t>Data la difficoltà e l'incertezza che circondano gli impatti indiretti e indotti, l'approccio più comune in Italia per tentare di stimare il valore della silver economy si concentra essenzialmente sul solo impatto diretto, inteso come la somma del valore dei prodotti e dei servizi acquistati direttamente.</w:t>
      </w:r>
    </w:p>
    <w:p w14:paraId="5D53B5F6" w14:textId="77777777" w:rsidR="008D7BBA" w:rsidRPr="008B346E" w:rsidRDefault="008D7BBA" w:rsidP="008D7BBA">
      <w:pPr>
        <w:jc w:val="both"/>
        <w:rPr>
          <w:rFonts w:ascii="Poppins" w:hAnsi="Poppins" w:cs="Poppins"/>
          <w:sz w:val="20"/>
          <w:szCs w:val="20"/>
          <w:lang w:val="en-GB"/>
        </w:rPr>
      </w:pPr>
      <w:r w:rsidRPr="008B346E">
        <w:rPr>
          <w:rFonts w:ascii="Poppins" w:hAnsi="Poppins" w:cs="Poppins"/>
          <w:sz w:val="20"/>
          <w:szCs w:val="20"/>
          <w:lang w:val="en-GB"/>
        </w:rPr>
        <w:t xml:space="preserve">I dati disponibili per questa stima si basano principalmente sulla </w:t>
      </w:r>
      <w:r w:rsidRPr="008B346E">
        <w:rPr>
          <w:rFonts w:ascii="Poppins" w:hAnsi="Poppins" w:cs="Poppins"/>
          <w:b/>
          <w:bCs/>
          <w:color w:val="156082" w:themeColor="accent1"/>
          <w:sz w:val="20"/>
          <w:szCs w:val="20"/>
          <w:lang w:val="en-GB"/>
        </w:rPr>
        <w:t xml:space="preserve">struttura della spesa per consumi per tipologia di famiglia </w:t>
      </w:r>
      <w:r w:rsidRPr="008B346E">
        <w:rPr>
          <w:rFonts w:ascii="Poppins" w:hAnsi="Poppins" w:cs="Poppins"/>
          <w:sz w:val="20"/>
          <w:szCs w:val="20"/>
          <w:lang w:val="en-GB"/>
        </w:rPr>
        <w:t xml:space="preserve">, come raccolti da ISTAT ed Eurostat tramite indagini campionarie come l'Indagine sui bilanci delle famiglie (HBS). Le </w:t>
      </w:r>
      <w:r w:rsidRPr="008B346E">
        <w:rPr>
          <w:rFonts w:ascii="Poppins" w:hAnsi="Poppins" w:cs="Poppins"/>
          <w:b/>
          <w:bCs/>
          <w:color w:val="156082" w:themeColor="accent1"/>
          <w:sz w:val="20"/>
          <w:szCs w:val="20"/>
          <w:lang w:val="en-GB"/>
        </w:rPr>
        <w:t>voci di consumo</w:t>
      </w:r>
      <w:r w:rsidRPr="008B346E">
        <w:rPr>
          <w:rFonts w:ascii="Poppins" w:hAnsi="Poppins" w:cs="Poppins"/>
          <w:color w:val="156082" w:themeColor="accent1"/>
          <w:sz w:val="20"/>
          <w:szCs w:val="20"/>
          <w:lang w:val="en-GB"/>
        </w:rPr>
        <w:t xml:space="preserve"> </w:t>
      </w:r>
      <w:r w:rsidRPr="008B346E">
        <w:rPr>
          <w:rFonts w:ascii="Poppins" w:hAnsi="Poppins" w:cs="Poppins"/>
          <w:sz w:val="20"/>
          <w:szCs w:val="20"/>
          <w:lang w:val="en-GB"/>
        </w:rPr>
        <w:t>includono:</w:t>
      </w:r>
    </w:p>
    <w:p w14:paraId="6F7877C1" w14:textId="77777777" w:rsidR="008D7BBA" w:rsidRPr="008B346E" w:rsidRDefault="008D7BBA" w:rsidP="008D7BBA">
      <w:pPr>
        <w:pStyle w:val="Puntoelenco"/>
        <w:numPr>
          <w:ilvl w:val="0"/>
          <w:numId w:val="4"/>
        </w:numPr>
        <w:rPr>
          <w:rFonts w:ascii="Poppins" w:hAnsi="Poppins" w:cs="Poppins"/>
          <w:sz w:val="20"/>
          <w:szCs w:val="20"/>
          <w:lang w:val="en-GB"/>
        </w:rPr>
      </w:pPr>
      <w:r w:rsidRPr="008B346E">
        <w:rPr>
          <w:rFonts w:ascii="Poppins" w:hAnsi="Poppins" w:cs="Poppins"/>
          <w:sz w:val="20"/>
          <w:szCs w:val="20"/>
          <w:lang w:val="en-GB"/>
        </w:rPr>
        <w:t>Bevande alcoliche e tabacco</w:t>
      </w:r>
    </w:p>
    <w:p w14:paraId="7B971BB3" w14:textId="77777777" w:rsidR="008D7BBA" w:rsidRPr="008B346E" w:rsidRDefault="008D7BBA" w:rsidP="008D7BBA">
      <w:pPr>
        <w:pStyle w:val="Puntoelenco"/>
        <w:numPr>
          <w:ilvl w:val="0"/>
          <w:numId w:val="4"/>
        </w:numPr>
        <w:rPr>
          <w:rFonts w:ascii="Poppins" w:hAnsi="Poppins" w:cs="Poppins"/>
          <w:sz w:val="20"/>
          <w:szCs w:val="20"/>
          <w:lang w:val="en-GB"/>
        </w:rPr>
      </w:pPr>
      <w:r w:rsidRPr="008B346E">
        <w:rPr>
          <w:rFonts w:ascii="Poppins" w:hAnsi="Poppins" w:cs="Poppins"/>
          <w:sz w:val="20"/>
          <w:szCs w:val="20"/>
          <w:lang w:val="en-GB"/>
        </w:rPr>
        <w:t>Abbigliamento e calzature</w:t>
      </w:r>
    </w:p>
    <w:p w14:paraId="6F0E9424" w14:textId="77777777" w:rsidR="008D7BBA" w:rsidRPr="008B346E" w:rsidRDefault="008D7BBA" w:rsidP="008D7BBA">
      <w:pPr>
        <w:pStyle w:val="Puntoelenco"/>
        <w:numPr>
          <w:ilvl w:val="0"/>
          <w:numId w:val="4"/>
        </w:numPr>
        <w:rPr>
          <w:rFonts w:ascii="Poppins" w:hAnsi="Poppins" w:cs="Poppins"/>
          <w:sz w:val="20"/>
          <w:szCs w:val="20"/>
          <w:lang w:val="en-GB"/>
        </w:rPr>
      </w:pPr>
      <w:r w:rsidRPr="008B346E">
        <w:rPr>
          <w:rFonts w:ascii="Poppins" w:hAnsi="Poppins" w:cs="Poppins"/>
          <w:sz w:val="20"/>
          <w:szCs w:val="20"/>
          <w:lang w:val="en-GB"/>
        </w:rPr>
        <w:t>Istruzione</w:t>
      </w:r>
    </w:p>
    <w:p w14:paraId="1D561B7F" w14:textId="77777777" w:rsidR="008D7BBA" w:rsidRPr="008B346E" w:rsidRDefault="008D7BBA" w:rsidP="008D7BBA">
      <w:pPr>
        <w:pStyle w:val="Puntoelenco"/>
        <w:numPr>
          <w:ilvl w:val="0"/>
          <w:numId w:val="4"/>
        </w:numPr>
        <w:rPr>
          <w:rFonts w:ascii="Poppins" w:hAnsi="Poppins" w:cs="Poppins"/>
          <w:sz w:val="20"/>
          <w:szCs w:val="20"/>
          <w:lang w:val="en-GB"/>
        </w:rPr>
      </w:pPr>
      <w:r w:rsidRPr="008B346E">
        <w:rPr>
          <w:rFonts w:ascii="Poppins" w:hAnsi="Poppins" w:cs="Poppins"/>
          <w:sz w:val="20"/>
          <w:szCs w:val="20"/>
          <w:lang w:val="en-GB"/>
        </w:rPr>
        <w:t>Servizi di ristorazione e alloggio</w:t>
      </w:r>
    </w:p>
    <w:p w14:paraId="0B6998B4" w14:textId="77777777" w:rsidR="008D7BBA" w:rsidRPr="008B346E" w:rsidRDefault="008D7BBA" w:rsidP="008D7BBA">
      <w:pPr>
        <w:pStyle w:val="Puntoelenco"/>
        <w:numPr>
          <w:ilvl w:val="0"/>
          <w:numId w:val="4"/>
        </w:numPr>
        <w:rPr>
          <w:rFonts w:ascii="Poppins" w:hAnsi="Poppins" w:cs="Poppins"/>
          <w:sz w:val="20"/>
          <w:szCs w:val="20"/>
          <w:lang w:val="en-GB"/>
        </w:rPr>
      </w:pPr>
      <w:r w:rsidRPr="008B346E">
        <w:rPr>
          <w:rFonts w:ascii="Poppins" w:hAnsi="Poppins" w:cs="Poppins"/>
          <w:sz w:val="20"/>
          <w:szCs w:val="20"/>
          <w:lang w:val="en-GB"/>
        </w:rPr>
        <w:lastRenderedPageBreak/>
        <w:t>Mobili, articoli per la casa e servizi domestici</w:t>
      </w:r>
    </w:p>
    <w:p w14:paraId="6D13E264" w14:textId="77777777" w:rsidR="008D7BBA" w:rsidRPr="008B346E" w:rsidRDefault="008D7BBA" w:rsidP="008D7BBA">
      <w:pPr>
        <w:pStyle w:val="Puntoelenco"/>
        <w:numPr>
          <w:ilvl w:val="0"/>
          <w:numId w:val="4"/>
        </w:numPr>
        <w:rPr>
          <w:rFonts w:ascii="Poppins" w:hAnsi="Poppins" w:cs="Poppins"/>
          <w:sz w:val="20"/>
          <w:szCs w:val="20"/>
          <w:lang w:val="en-GB"/>
        </w:rPr>
      </w:pPr>
      <w:r w:rsidRPr="008B346E">
        <w:rPr>
          <w:rFonts w:ascii="Poppins" w:hAnsi="Poppins" w:cs="Poppins"/>
          <w:sz w:val="20"/>
          <w:szCs w:val="20"/>
          <w:lang w:val="en-GB"/>
        </w:rPr>
        <w:t>Salute</w:t>
      </w:r>
    </w:p>
    <w:p w14:paraId="2EE10E97" w14:textId="77777777" w:rsidR="008D7BBA" w:rsidRPr="008B346E" w:rsidRDefault="008D7BBA" w:rsidP="008D7BBA">
      <w:pPr>
        <w:pStyle w:val="Puntoelenco"/>
        <w:numPr>
          <w:ilvl w:val="0"/>
          <w:numId w:val="4"/>
        </w:numPr>
        <w:rPr>
          <w:rFonts w:ascii="Poppins" w:hAnsi="Poppins" w:cs="Poppins"/>
          <w:sz w:val="20"/>
          <w:szCs w:val="20"/>
          <w:lang w:val="en-GB"/>
        </w:rPr>
      </w:pPr>
      <w:r w:rsidRPr="008B346E">
        <w:rPr>
          <w:rFonts w:ascii="Poppins" w:hAnsi="Poppins" w:cs="Poppins"/>
          <w:sz w:val="20"/>
          <w:szCs w:val="20"/>
          <w:lang w:val="en-GB"/>
        </w:rPr>
        <w:t>Alloggi, acqua, elettricità, gas e altri combustibili</w:t>
      </w:r>
    </w:p>
    <w:p w14:paraId="0AF97EDD" w14:textId="77777777" w:rsidR="008D7BBA" w:rsidRPr="008B346E" w:rsidRDefault="008D7BBA" w:rsidP="008D7BBA">
      <w:pPr>
        <w:pStyle w:val="Puntoelenco"/>
        <w:numPr>
          <w:ilvl w:val="0"/>
          <w:numId w:val="4"/>
        </w:numPr>
        <w:rPr>
          <w:rFonts w:ascii="Poppins" w:hAnsi="Poppins" w:cs="Poppins"/>
          <w:sz w:val="20"/>
          <w:szCs w:val="20"/>
          <w:lang w:val="en-GB"/>
        </w:rPr>
      </w:pPr>
      <w:r w:rsidRPr="008B346E">
        <w:rPr>
          <w:rFonts w:ascii="Poppins" w:hAnsi="Poppins" w:cs="Poppins"/>
          <w:sz w:val="20"/>
          <w:szCs w:val="20"/>
          <w:lang w:val="en-GB"/>
        </w:rPr>
        <w:t>Informazione e comunicazione</w:t>
      </w:r>
    </w:p>
    <w:p w14:paraId="2084AD1E" w14:textId="77777777" w:rsidR="008D7BBA" w:rsidRPr="008B346E" w:rsidRDefault="008D7BBA" w:rsidP="008D7BBA">
      <w:pPr>
        <w:pStyle w:val="Puntoelenco"/>
        <w:numPr>
          <w:ilvl w:val="0"/>
          <w:numId w:val="4"/>
        </w:numPr>
        <w:rPr>
          <w:rFonts w:ascii="Poppins" w:hAnsi="Poppins" w:cs="Poppins"/>
          <w:sz w:val="20"/>
          <w:szCs w:val="20"/>
          <w:lang w:val="en-GB"/>
        </w:rPr>
      </w:pPr>
      <w:r w:rsidRPr="008B346E">
        <w:rPr>
          <w:rFonts w:ascii="Poppins" w:hAnsi="Poppins" w:cs="Poppins"/>
          <w:sz w:val="20"/>
          <w:szCs w:val="20"/>
          <w:lang w:val="en-GB"/>
        </w:rPr>
        <w:t>Assicurazioni e servizi finanziari</w:t>
      </w:r>
    </w:p>
    <w:p w14:paraId="1CF220A8" w14:textId="77777777" w:rsidR="008D7BBA" w:rsidRPr="008B346E" w:rsidRDefault="008D7BBA" w:rsidP="008D7BBA">
      <w:pPr>
        <w:pStyle w:val="Puntoelenco"/>
        <w:numPr>
          <w:ilvl w:val="0"/>
          <w:numId w:val="4"/>
        </w:numPr>
        <w:rPr>
          <w:rFonts w:ascii="Poppins" w:hAnsi="Poppins" w:cs="Poppins"/>
          <w:sz w:val="20"/>
          <w:szCs w:val="20"/>
          <w:lang w:val="en-GB"/>
        </w:rPr>
      </w:pPr>
      <w:r w:rsidRPr="008B346E">
        <w:rPr>
          <w:rFonts w:ascii="Poppins" w:hAnsi="Poppins" w:cs="Poppins"/>
          <w:sz w:val="20"/>
          <w:szCs w:val="20"/>
          <w:lang w:val="en-GB"/>
        </w:rPr>
        <w:t>Ricreazione, sport e cultura</w:t>
      </w:r>
    </w:p>
    <w:p w14:paraId="0FDB8ED2" w14:textId="77777777" w:rsidR="008D7BBA" w:rsidRPr="008B346E" w:rsidRDefault="008D7BBA" w:rsidP="008D7BBA">
      <w:pPr>
        <w:pStyle w:val="Puntoelenco"/>
        <w:numPr>
          <w:ilvl w:val="0"/>
          <w:numId w:val="4"/>
        </w:numPr>
        <w:rPr>
          <w:rFonts w:ascii="Poppins" w:hAnsi="Poppins" w:cs="Poppins"/>
          <w:sz w:val="20"/>
          <w:szCs w:val="20"/>
          <w:lang w:val="en-GB"/>
        </w:rPr>
      </w:pPr>
      <w:r w:rsidRPr="008B346E">
        <w:rPr>
          <w:rFonts w:ascii="Poppins" w:hAnsi="Poppins" w:cs="Poppins"/>
          <w:sz w:val="20"/>
          <w:szCs w:val="20"/>
          <w:lang w:val="en-GB"/>
        </w:rPr>
        <w:t>Trasporto</w:t>
      </w:r>
    </w:p>
    <w:p w14:paraId="7502D432" w14:textId="77777777" w:rsidR="008D7BBA" w:rsidRPr="008B346E" w:rsidRDefault="008D7BBA" w:rsidP="008D7BBA">
      <w:pPr>
        <w:pStyle w:val="Puntoelenco"/>
        <w:numPr>
          <w:ilvl w:val="0"/>
          <w:numId w:val="4"/>
        </w:numPr>
        <w:rPr>
          <w:rFonts w:ascii="Poppins" w:hAnsi="Poppins" w:cs="Poppins"/>
          <w:sz w:val="20"/>
          <w:szCs w:val="20"/>
          <w:lang w:val="en-GB"/>
        </w:rPr>
      </w:pPr>
      <w:r w:rsidRPr="008B346E">
        <w:rPr>
          <w:rFonts w:ascii="Poppins" w:hAnsi="Poppins" w:cs="Poppins"/>
          <w:sz w:val="20"/>
          <w:szCs w:val="20"/>
          <w:lang w:val="en-GB"/>
        </w:rPr>
        <w:t>Prodotti e servizi per la cura della persona</w:t>
      </w:r>
    </w:p>
    <w:p w14:paraId="08936E11" w14:textId="77777777" w:rsidR="008D7BBA" w:rsidRPr="008B346E" w:rsidRDefault="008D7BBA" w:rsidP="008D7BBA">
      <w:pPr>
        <w:pStyle w:val="Puntoelenco"/>
        <w:numPr>
          <w:ilvl w:val="0"/>
          <w:numId w:val="4"/>
        </w:numPr>
        <w:rPr>
          <w:rFonts w:ascii="Poppins" w:hAnsi="Poppins" w:cs="Poppins"/>
          <w:sz w:val="20"/>
          <w:szCs w:val="20"/>
          <w:lang w:val="en-GB"/>
        </w:rPr>
      </w:pPr>
      <w:r w:rsidRPr="008B346E">
        <w:rPr>
          <w:rFonts w:ascii="Poppins" w:hAnsi="Poppins" w:cs="Poppins"/>
          <w:sz w:val="20"/>
          <w:szCs w:val="20"/>
          <w:lang w:val="en-GB"/>
        </w:rPr>
        <w:t>Servizi di protezione sociale</w:t>
      </w:r>
    </w:p>
    <w:p w14:paraId="1AF224DF" w14:textId="77777777" w:rsidR="008D7BBA" w:rsidRPr="008B346E" w:rsidRDefault="008D7BBA" w:rsidP="008D7BBA">
      <w:pPr>
        <w:pStyle w:val="Puntoelenco"/>
        <w:numPr>
          <w:ilvl w:val="0"/>
          <w:numId w:val="4"/>
        </w:numPr>
        <w:rPr>
          <w:rFonts w:ascii="Poppins" w:hAnsi="Poppins" w:cs="Poppins"/>
          <w:sz w:val="20"/>
          <w:szCs w:val="20"/>
          <w:lang w:val="en-GB"/>
        </w:rPr>
      </w:pPr>
      <w:r w:rsidRPr="008B346E">
        <w:rPr>
          <w:rFonts w:ascii="Poppins" w:hAnsi="Poppins" w:cs="Poppins"/>
          <w:sz w:val="20"/>
          <w:szCs w:val="20"/>
          <w:lang w:val="en-GB"/>
        </w:rPr>
        <w:t>Altri beni e servizi.</w:t>
      </w:r>
    </w:p>
    <w:p w14:paraId="567D364F" w14:textId="77777777" w:rsidR="008D7BBA" w:rsidRPr="008B346E" w:rsidRDefault="008D7BBA" w:rsidP="008D7BBA">
      <w:pPr>
        <w:jc w:val="both"/>
        <w:rPr>
          <w:rFonts w:ascii="Poppins" w:hAnsi="Poppins" w:cs="Poppins"/>
          <w:sz w:val="20"/>
          <w:szCs w:val="20"/>
          <w:lang w:val="en-GB"/>
        </w:rPr>
      </w:pPr>
      <w:r w:rsidRPr="008B346E">
        <w:rPr>
          <w:rFonts w:ascii="Poppins" w:hAnsi="Poppins" w:cs="Poppins"/>
          <w:sz w:val="20"/>
          <w:szCs w:val="20"/>
          <w:lang w:val="en-GB"/>
        </w:rPr>
        <w:t>A questo proposito, l'ISTAT classifica le famiglie in base all'età della persona di riferimento, definita come l'individuo che contribuisce maggiormente al sostegno economico del nucleo familiare. Inoltre, fornisce il numero di anziani presenti nel nucleo familiare e specifica se vivono da soli o in coppia. Questi e altri indicatori sono presentati nella tabella seguente.</w:t>
      </w:r>
    </w:p>
    <w:p w14:paraId="1C99507D" w14:textId="77777777" w:rsidR="008D7BBA" w:rsidRPr="008B346E" w:rsidRDefault="008D7BBA" w:rsidP="008D7BBA">
      <w:pPr>
        <w:pStyle w:val="Didascalia"/>
        <w:rPr>
          <w:rFonts w:ascii="Poppins" w:hAnsi="Poppins" w:cs="Poppins"/>
          <w:szCs w:val="20"/>
          <w:lang w:val="en-GB"/>
        </w:rPr>
      </w:pPr>
      <w:r w:rsidRPr="008B346E">
        <w:rPr>
          <w:rFonts w:ascii="Poppins" w:hAnsi="Poppins" w:cs="Poppins"/>
          <w:szCs w:val="20"/>
          <w:lang w:val="en-GB"/>
        </w:rPr>
        <w:t xml:space="preserve">Tabella </w:t>
      </w:r>
      <w:r w:rsidRPr="008B346E">
        <w:rPr>
          <w:rFonts w:ascii="Poppins" w:hAnsi="Poppins" w:cs="Poppins"/>
          <w:noProof/>
          <w:szCs w:val="20"/>
          <w:lang w:val="en-GB"/>
        </w:rPr>
        <w:t xml:space="preserve">18 </w:t>
      </w:r>
      <w:r w:rsidRPr="008B346E">
        <w:rPr>
          <w:rFonts w:ascii="Poppins" w:hAnsi="Poppins" w:cs="Poppins"/>
          <w:szCs w:val="20"/>
          <w:lang w:val="en-GB"/>
        </w:rPr>
        <w:t>- Indicatori di spesa della Silver Economy.</w:t>
      </w:r>
    </w:p>
    <w:tbl>
      <w:tblPr>
        <w:tblStyle w:val="Grigliatabella"/>
        <w:tblW w:w="0" w:type="auto"/>
        <w:tblInd w:w="0" w:type="dxa"/>
        <w:tblLook w:val="04A0" w:firstRow="1" w:lastRow="0" w:firstColumn="1" w:lastColumn="0" w:noHBand="0" w:noVBand="1"/>
      </w:tblPr>
      <w:tblGrid>
        <w:gridCol w:w="1879"/>
        <w:gridCol w:w="7749"/>
      </w:tblGrid>
      <w:tr w:rsidR="008D7BBA" w:rsidRPr="008B346E" w14:paraId="3405B992" w14:textId="77777777" w:rsidTr="00B74592">
        <w:tc>
          <w:tcPr>
            <w:tcW w:w="0" w:type="auto"/>
            <w:tcMar>
              <w:left w:w="28" w:type="dxa"/>
              <w:right w:w="28" w:type="dxa"/>
            </w:tcMar>
          </w:tcPr>
          <w:p w14:paraId="40B19271" w14:textId="77777777" w:rsidR="008D7BBA" w:rsidRPr="008B346E" w:rsidRDefault="008D7BBA" w:rsidP="00B74592">
            <w:pPr>
              <w:jc w:val="both"/>
              <w:rPr>
                <w:rFonts w:ascii="Poppins" w:hAnsi="Poppins" w:cs="Poppins"/>
                <w:b/>
                <w:bCs/>
                <w:lang w:val="en-GB"/>
              </w:rPr>
            </w:pPr>
            <w:r w:rsidRPr="008B346E">
              <w:rPr>
                <w:rFonts w:ascii="Poppins" w:hAnsi="Poppins" w:cs="Poppins"/>
                <w:b/>
                <w:bCs/>
                <w:lang w:val="en-GB"/>
              </w:rPr>
              <w:t>Indicatore o classe di indicatori</w:t>
            </w:r>
          </w:p>
        </w:tc>
        <w:tc>
          <w:tcPr>
            <w:tcW w:w="0" w:type="auto"/>
            <w:tcMar>
              <w:left w:w="28" w:type="dxa"/>
              <w:right w:w="28" w:type="dxa"/>
            </w:tcMar>
          </w:tcPr>
          <w:p w14:paraId="774BDA61" w14:textId="77777777" w:rsidR="008D7BBA" w:rsidRPr="008B346E" w:rsidRDefault="008D7BBA" w:rsidP="00B74592">
            <w:pPr>
              <w:jc w:val="both"/>
              <w:rPr>
                <w:rFonts w:ascii="Poppins" w:hAnsi="Poppins" w:cs="Poppins"/>
                <w:b/>
                <w:bCs/>
                <w:lang w:val="en-GB"/>
              </w:rPr>
            </w:pPr>
            <w:r w:rsidRPr="008B346E">
              <w:rPr>
                <w:rFonts w:ascii="Poppins" w:hAnsi="Poppins" w:cs="Poppins"/>
                <w:b/>
                <w:bCs/>
                <w:lang w:val="en-GB"/>
              </w:rPr>
              <w:t>Descrizione e fonte</w:t>
            </w:r>
          </w:p>
        </w:tc>
      </w:tr>
      <w:tr w:rsidR="008D7BBA" w:rsidRPr="008B346E" w14:paraId="332B8E13" w14:textId="77777777" w:rsidTr="00B74592">
        <w:tc>
          <w:tcPr>
            <w:tcW w:w="0" w:type="auto"/>
            <w:gridSpan w:val="2"/>
            <w:tcMar>
              <w:left w:w="28" w:type="dxa"/>
              <w:right w:w="28" w:type="dxa"/>
            </w:tcMar>
          </w:tcPr>
          <w:p w14:paraId="5AACD31B" w14:textId="77777777" w:rsidR="008D7BBA" w:rsidRPr="008B346E" w:rsidRDefault="008D7BBA" w:rsidP="00B74592">
            <w:pPr>
              <w:jc w:val="both"/>
              <w:rPr>
                <w:rFonts w:ascii="Poppins" w:hAnsi="Poppins" w:cs="Poppins"/>
                <w:b/>
                <w:bCs/>
                <w:lang w:val="en-GB"/>
              </w:rPr>
            </w:pPr>
            <w:r w:rsidRPr="008B346E">
              <w:rPr>
                <w:rFonts w:ascii="Poppins" w:hAnsi="Poppins" w:cs="Poppins"/>
                <w:b/>
                <w:bCs/>
                <w:lang w:val="en-GB"/>
              </w:rPr>
              <w:t xml:space="preserve">Dimensione: </w:t>
            </w:r>
            <w:r w:rsidRPr="008B346E">
              <w:rPr>
                <w:rFonts w:ascii="Poppins" w:hAnsi="Poppins" w:cs="Poppins"/>
                <w:b/>
                <w:bCs/>
                <w:i/>
                <w:iCs/>
                <w:lang w:val="en-GB"/>
              </w:rPr>
              <w:t xml:space="preserve">spesa per consumi </w:t>
            </w:r>
            <w:r w:rsidRPr="008B346E">
              <w:rPr>
                <w:rFonts w:ascii="Poppins" w:hAnsi="Poppins" w:cs="Poppins"/>
                <w:i/>
                <w:iCs/>
                <w:lang w:val="en-GB"/>
              </w:rPr>
              <w:t>(per tipologia di famiglia)</w:t>
            </w:r>
          </w:p>
        </w:tc>
      </w:tr>
      <w:tr w:rsidR="008D7BBA" w:rsidRPr="008B346E" w14:paraId="4F649EB2" w14:textId="77777777" w:rsidTr="00B74592">
        <w:tc>
          <w:tcPr>
            <w:tcW w:w="0" w:type="auto"/>
            <w:tcMar>
              <w:left w:w="28" w:type="dxa"/>
              <w:right w:w="28" w:type="dxa"/>
            </w:tcMar>
          </w:tcPr>
          <w:p w14:paraId="28F62B85" w14:textId="77777777" w:rsidR="008D7BBA" w:rsidRPr="008B346E" w:rsidRDefault="008D7BBA" w:rsidP="00B74592">
            <w:pPr>
              <w:jc w:val="both"/>
              <w:rPr>
                <w:rFonts w:ascii="Poppins" w:hAnsi="Poppins" w:cs="Poppins"/>
                <w:b/>
                <w:bCs/>
                <w:lang w:val="en-GB"/>
              </w:rPr>
            </w:pPr>
            <w:r w:rsidRPr="008B346E">
              <w:rPr>
                <w:rFonts w:ascii="Poppins" w:hAnsi="Poppins" w:cs="Poppins"/>
                <w:i/>
                <w:iCs/>
                <w:lang w:val="en-GB"/>
              </w:rPr>
              <w:t>Spesa media per consumi</w:t>
            </w:r>
          </w:p>
        </w:tc>
        <w:tc>
          <w:tcPr>
            <w:tcW w:w="0" w:type="auto"/>
            <w:tcMar>
              <w:left w:w="28" w:type="dxa"/>
              <w:right w:w="28" w:type="dxa"/>
            </w:tcMar>
          </w:tcPr>
          <w:p w14:paraId="06F06523" w14:textId="77777777" w:rsidR="008D7BBA" w:rsidRPr="008B346E" w:rsidRDefault="008D7BBA" w:rsidP="00B74592">
            <w:pPr>
              <w:jc w:val="both"/>
              <w:rPr>
                <w:rFonts w:ascii="Poppins" w:hAnsi="Poppins" w:cs="Poppins"/>
                <w:b/>
                <w:bCs/>
                <w:lang w:val="en-GB"/>
              </w:rPr>
            </w:pPr>
            <w:r w:rsidRPr="008B346E">
              <w:rPr>
                <w:rFonts w:ascii="Poppins" w:hAnsi="Poppins" w:cs="Poppins"/>
                <w:lang w:val="en-GB"/>
              </w:rPr>
              <w:t>Importo medio speso dalle famiglie o dagli individui in beni e servizi in un periodo di tempo specifico. Fonte: HBS.</w:t>
            </w:r>
          </w:p>
        </w:tc>
      </w:tr>
      <w:tr w:rsidR="008D7BBA" w:rsidRPr="008B346E" w14:paraId="0A22E765" w14:textId="77777777" w:rsidTr="00B74592">
        <w:tc>
          <w:tcPr>
            <w:tcW w:w="0" w:type="auto"/>
            <w:tcMar>
              <w:left w:w="28" w:type="dxa"/>
              <w:right w:w="28" w:type="dxa"/>
            </w:tcMar>
          </w:tcPr>
          <w:p w14:paraId="6228E83B" w14:textId="77777777" w:rsidR="008D7BBA" w:rsidRPr="008B346E" w:rsidRDefault="008D7BBA" w:rsidP="00B74592">
            <w:pPr>
              <w:jc w:val="both"/>
              <w:rPr>
                <w:rFonts w:ascii="Poppins" w:hAnsi="Poppins" w:cs="Poppins"/>
                <w:b/>
                <w:bCs/>
                <w:i/>
                <w:iCs/>
                <w:lang w:val="en-GB"/>
              </w:rPr>
            </w:pPr>
            <w:r w:rsidRPr="008B346E">
              <w:rPr>
                <w:rFonts w:ascii="Poppins" w:hAnsi="Poppins" w:cs="Poppins"/>
                <w:i/>
                <w:iCs/>
                <w:lang w:val="en-GB"/>
              </w:rPr>
              <w:t>Spesa relativa per consumi</w:t>
            </w:r>
          </w:p>
        </w:tc>
        <w:tc>
          <w:tcPr>
            <w:tcW w:w="0" w:type="auto"/>
            <w:tcMar>
              <w:left w:w="28" w:type="dxa"/>
              <w:right w:w="28" w:type="dxa"/>
            </w:tcMar>
          </w:tcPr>
          <w:p w14:paraId="566209E8" w14:textId="77777777" w:rsidR="008D7BBA" w:rsidRPr="008B346E" w:rsidRDefault="008D7BBA" w:rsidP="00B74592">
            <w:pPr>
              <w:jc w:val="both"/>
              <w:rPr>
                <w:rFonts w:ascii="Poppins" w:hAnsi="Poppins" w:cs="Poppins"/>
                <w:b/>
                <w:bCs/>
                <w:lang w:val="en-GB"/>
              </w:rPr>
            </w:pPr>
            <w:r w:rsidRPr="008B346E">
              <w:rPr>
                <w:rFonts w:ascii="Poppins" w:hAnsi="Poppins" w:cs="Poppins"/>
                <w:lang w:val="en-GB"/>
              </w:rPr>
              <w:t xml:space="preserve">La quota della spesa totale per consumi delle famiglie destinata a varie voci di consumo nelle famiglie in cui la persona di riferimento ha un'età ≥65 anni o in cui almeno un membro ha più di 65 anni </w:t>
            </w:r>
            <w:r w:rsidRPr="008B346E">
              <w:rPr>
                <w:rFonts w:ascii="Poppins" w:hAnsi="Poppins" w:cs="Poppins"/>
                <w:i/>
                <w:iCs/>
                <w:lang w:val="en-GB"/>
              </w:rPr>
              <w:t xml:space="preserve">. </w:t>
            </w:r>
            <w:r w:rsidRPr="008B346E">
              <w:rPr>
                <w:rFonts w:ascii="Poppins" w:hAnsi="Poppins" w:cs="Poppins"/>
                <w:lang w:val="en-GB"/>
              </w:rPr>
              <w:t>Fonte: HBS.</w:t>
            </w:r>
          </w:p>
        </w:tc>
      </w:tr>
      <w:tr w:rsidR="008D7BBA" w:rsidRPr="008B346E" w14:paraId="29B556FC" w14:textId="77777777" w:rsidTr="00B74592">
        <w:tc>
          <w:tcPr>
            <w:tcW w:w="0" w:type="auto"/>
            <w:gridSpan w:val="2"/>
            <w:tcMar>
              <w:left w:w="28" w:type="dxa"/>
              <w:right w:w="28" w:type="dxa"/>
            </w:tcMar>
          </w:tcPr>
          <w:p w14:paraId="7813C68F" w14:textId="77777777" w:rsidR="008D7BBA" w:rsidRPr="008B346E" w:rsidRDefault="008D7BBA" w:rsidP="00B74592">
            <w:pPr>
              <w:jc w:val="both"/>
              <w:rPr>
                <w:rFonts w:ascii="Poppins" w:hAnsi="Poppins" w:cs="Poppins"/>
                <w:b/>
                <w:bCs/>
                <w:lang w:val="en-GB"/>
              </w:rPr>
            </w:pPr>
            <w:r w:rsidRPr="008B346E">
              <w:rPr>
                <w:rFonts w:ascii="Poppins" w:hAnsi="Poppins" w:cs="Poppins"/>
                <w:b/>
                <w:bCs/>
                <w:lang w:val="en-GB"/>
              </w:rPr>
              <w:t xml:space="preserve">Dimensione: </w:t>
            </w:r>
            <w:r w:rsidRPr="008B346E">
              <w:rPr>
                <w:rFonts w:ascii="Poppins" w:hAnsi="Poppins" w:cs="Poppins"/>
                <w:b/>
                <w:bCs/>
                <w:i/>
                <w:iCs/>
                <w:lang w:val="en-GB"/>
              </w:rPr>
              <w:t xml:space="preserve">abitudini di consumo </w:t>
            </w:r>
            <w:r w:rsidRPr="008B346E">
              <w:rPr>
                <w:rFonts w:ascii="Poppins" w:hAnsi="Poppins" w:cs="Poppins"/>
                <w:i/>
                <w:iCs/>
                <w:lang w:val="en-GB"/>
              </w:rPr>
              <w:t>(per fasce d'età)</w:t>
            </w:r>
          </w:p>
        </w:tc>
      </w:tr>
      <w:tr w:rsidR="008D7BBA" w:rsidRPr="008B346E" w14:paraId="17D6B628" w14:textId="77777777" w:rsidTr="00B74592">
        <w:tc>
          <w:tcPr>
            <w:tcW w:w="0" w:type="auto"/>
            <w:tcMar>
              <w:left w:w="28" w:type="dxa"/>
              <w:right w:w="28" w:type="dxa"/>
            </w:tcMar>
          </w:tcPr>
          <w:p w14:paraId="2CD6BEEA" w14:textId="77777777" w:rsidR="008D7BBA" w:rsidRPr="008B346E" w:rsidRDefault="008D7BBA" w:rsidP="00B74592">
            <w:pPr>
              <w:jc w:val="both"/>
              <w:rPr>
                <w:rFonts w:ascii="Poppins" w:hAnsi="Poppins" w:cs="Poppins"/>
                <w:i/>
                <w:iCs/>
                <w:lang w:val="en-GB"/>
              </w:rPr>
            </w:pPr>
            <w:r w:rsidRPr="008B346E">
              <w:rPr>
                <w:rFonts w:ascii="Poppins" w:hAnsi="Poppins" w:cs="Poppins"/>
                <w:i/>
                <w:iCs/>
                <w:lang w:val="en-GB"/>
              </w:rPr>
              <w:t>Abitudini alimentari</w:t>
            </w:r>
          </w:p>
        </w:tc>
        <w:tc>
          <w:tcPr>
            <w:tcW w:w="0" w:type="auto"/>
            <w:tcMar>
              <w:left w:w="28" w:type="dxa"/>
              <w:right w:w="28" w:type="dxa"/>
            </w:tcMar>
          </w:tcPr>
          <w:p w14:paraId="4566E7C8" w14:textId="77777777" w:rsidR="008D7BBA" w:rsidRPr="008B346E" w:rsidRDefault="008D7BBA" w:rsidP="00B74592">
            <w:pPr>
              <w:jc w:val="both"/>
              <w:rPr>
                <w:rFonts w:ascii="Poppins" w:hAnsi="Poppins" w:cs="Poppins"/>
                <w:lang w:val="en-GB"/>
              </w:rPr>
            </w:pPr>
            <w:r w:rsidRPr="008B346E">
              <w:rPr>
                <w:rFonts w:ascii="Poppins" w:hAnsi="Poppins" w:cs="Poppins"/>
                <w:lang w:val="en-GB"/>
              </w:rPr>
              <w:t>Frequenza del pranzo a casa, al bar o al ristorante, nonché tipologia di alimenti consumati. Fonte: Istat -ADL.</w:t>
            </w:r>
          </w:p>
        </w:tc>
      </w:tr>
      <w:tr w:rsidR="008D7BBA" w:rsidRPr="008B346E" w14:paraId="71E07335" w14:textId="77777777" w:rsidTr="00B74592">
        <w:tc>
          <w:tcPr>
            <w:tcW w:w="0" w:type="auto"/>
            <w:tcMar>
              <w:left w:w="28" w:type="dxa"/>
              <w:right w:w="28" w:type="dxa"/>
            </w:tcMar>
          </w:tcPr>
          <w:p w14:paraId="2316CF7C" w14:textId="77777777" w:rsidR="008D7BBA" w:rsidRPr="008B346E" w:rsidRDefault="008D7BBA" w:rsidP="00B74592">
            <w:pPr>
              <w:jc w:val="both"/>
              <w:rPr>
                <w:rFonts w:ascii="Poppins" w:hAnsi="Poppins" w:cs="Poppins"/>
                <w:i/>
                <w:iCs/>
                <w:lang w:val="en-GB"/>
              </w:rPr>
            </w:pPr>
            <w:r w:rsidRPr="008B346E">
              <w:rPr>
                <w:rFonts w:ascii="Poppins" w:hAnsi="Poppins" w:cs="Poppins"/>
                <w:i/>
                <w:iCs/>
                <w:lang w:val="en-GB"/>
              </w:rPr>
              <w:t>Vacanze</w:t>
            </w:r>
          </w:p>
        </w:tc>
        <w:tc>
          <w:tcPr>
            <w:tcW w:w="0" w:type="auto"/>
            <w:tcMar>
              <w:left w:w="28" w:type="dxa"/>
              <w:right w:w="28" w:type="dxa"/>
            </w:tcMar>
          </w:tcPr>
          <w:p w14:paraId="3D228F4E" w14:textId="77777777" w:rsidR="008D7BBA" w:rsidRPr="008B346E" w:rsidRDefault="008D7BBA" w:rsidP="00B74592">
            <w:pPr>
              <w:jc w:val="both"/>
              <w:rPr>
                <w:rFonts w:ascii="Poppins" w:hAnsi="Poppins" w:cs="Poppins"/>
                <w:lang w:val="en-GB"/>
              </w:rPr>
            </w:pPr>
            <w:r w:rsidRPr="008B346E">
              <w:rPr>
                <w:rFonts w:ascii="Poppins" w:hAnsi="Poppins" w:cs="Poppins"/>
                <w:lang w:val="en-GB"/>
              </w:rPr>
              <w:t>Frequenza delle vacanze trascorse per svago, relax o intrattenimento, classificate in base alle attività predominanti svolte durante il viaggio, alla destinazione e all'alloggio . Fonte: EU-Tour; Istat-TrV , HBS.</w:t>
            </w:r>
          </w:p>
        </w:tc>
      </w:tr>
      <w:tr w:rsidR="008D7BBA" w:rsidRPr="008B346E" w14:paraId="02CF0A63" w14:textId="77777777" w:rsidTr="00B74592">
        <w:tc>
          <w:tcPr>
            <w:tcW w:w="0" w:type="auto"/>
            <w:tcMar>
              <w:left w:w="28" w:type="dxa"/>
              <w:right w:w="28" w:type="dxa"/>
            </w:tcMar>
          </w:tcPr>
          <w:p w14:paraId="4AB0AA38" w14:textId="77777777" w:rsidR="008D7BBA" w:rsidRPr="008B346E" w:rsidRDefault="008D7BBA" w:rsidP="00B74592">
            <w:pPr>
              <w:jc w:val="both"/>
              <w:rPr>
                <w:rFonts w:ascii="Poppins" w:hAnsi="Poppins" w:cs="Poppins"/>
                <w:i/>
                <w:iCs/>
                <w:lang w:val="en-GB"/>
              </w:rPr>
            </w:pPr>
            <w:r w:rsidRPr="008B346E">
              <w:rPr>
                <w:rFonts w:ascii="Poppins" w:hAnsi="Poppins" w:cs="Poppins"/>
                <w:i/>
                <w:iCs/>
                <w:lang w:val="en-GB"/>
              </w:rPr>
              <w:t>Proprietà di beni durevoli</w:t>
            </w:r>
          </w:p>
        </w:tc>
        <w:tc>
          <w:tcPr>
            <w:tcW w:w="0" w:type="auto"/>
            <w:tcMar>
              <w:left w:w="28" w:type="dxa"/>
              <w:right w:w="28" w:type="dxa"/>
            </w:tcMar>
          </w:tcPr>
          <w:p w14:paraId="767F0AD2" w14:textId="77777777" w:rsidR="008D7BBA" w:rsidRPr="008B346E" w:rsidRDefault="008D7BBA" w:rsidP="00B74592">
            <w:pPr>
              <w:jc w:val="both"/>
              <w:rPr>
                <w:rFonts w:ascii="Poppins" w:hAnsi="Poppins" w:cs="Poppins"/>
                <w:lang w:val="en-GB"/>
              </w:rPr>
            </w:pPr>
            <w:r w:rsidRPr="008B346E">
              <w:rPr>
                <w:rFonts w:ascii="Poppins" w:hAnsi="Poppins" w:cs="Poppins"/>
                <w:lang w:val="en-GB"/>
              </w:rPr>
              <w:t>La quota di famiglie che possiedono beni durevoli specifici (come computer personali, lavastoviglie, condizionatori e deumidificatori), che riflette gli standard di vita e le tendenze dei consumi.</w:t>
            </w:r>
          </w:p>
        </w:tc>
      </w:tr>
    </w:tbl>
    <w:p w14:paraId="1AE480E3" w14:textId="77777777" w:rsidR="00207AB3" w:rsidRDefault="00207AB3" w:rsidP="007657C5">
      <w:pPr>
        <w:pStyle w:val="Titolo2"/>
        <w:jc w:val="center"/>
        <w:rPr>
          <w:rFonts w:ascii="Poppins" w:hAnsi="Poppins" w:cs="Poppins"/>
          <w:color w:val="124F1A" w:themeColor="accent3" w:themeShade="BF"/>
          <w:sz w:val="36"/>
          <w:szCs w:val="36"/>
          <w:lang w:val="en-GB"/>
        </w:rPr>
      </w:pPr>
    </w:p>
    <w:p w14:paraId="77BEF93A" w14:textId="77777777" w:rsidR="00E02C5C" w:rsidRDefault="00E02C5C" w:rsidP="00E02C5C">
      <w:pPr>
        <w:rPr>
          <w:lang w:val="en-GB" w:eastAsia="en-US"/>
        </w:rPr>
      </w:pPr>
    </w:p>
    <w:p w14:paraId="758C0B96" w14:textId="77777777" w:rsidR="00E02C5C" w:rsidRDefault="00E02C5C" w:rsidP="00E02C5C">
      <w:pPr>
        <w:rPr>
          <w:lang w:val="en-GB" w:eastAsia="en-US"/>
        </w:rPr>
      </w:pPr>
    </w:p>
    <w:p w14:paraId="76CE7C49" w14:textId="77777777" w:rsidR="00E02C5C" w:rsidRDefault="00E02C5C" w:rsidP="00E02C5C">
      <w:pPr>
        <w:rPr>
          <w:lang w:val="en-GB" w:eastAsia="en-US"/>
        </w:rPr>
      </w:pPr>
    </w:p>
    <w:p w14:paraId="3AC7BDC1" w14:textId="69316213" w:rsidR="00E02C5C" w:rsidRDefault="00E02C5C" w:rsidP="00E02C5C">
      <w:pPr>
        <w:rPr>
          <w:lang w:val="en-GB" w:eastAsia="en-US"/>
        </w:rPr>
      </w:pPr>
      <w:r>
        <w:rPr>
          <w:lang w:val="en-GB" w:eastAsia="en-US"/>
        </w:rPr>
        <w:t xml:space="preserve">Bibliografia </w:t>
      </w:r>
    </w:p>
    <w:p w14:paraId="0509DBAA" w14:textId="77777777" w:rsidR="00E02C5C" w:rsidRPr="008B346E" w:rsidRDefault="00E02C5C" w:rsidP="00E02C5C">
      <w:pPr>
        <w:ind w:left="340" w:hanging="340"/>
        <w:rPr>
          <w:rFonts w:ascii="Poppins" w:hAnsi="Poppins" w:cs="Poppins"/>
          <w:sz w:val="20"/>
          <w:szCs w:val="20"/>
          <w:lang w:val="en-GB"/>
        </w:rPr>
      </w:pPr>
      <w:r w:rsidRPr="008B346E">
        <w:rPr>
          <w:rFonts w:ascii="Poppins" w:hAnsi="Poppins" w:cs="Poppins"/>
          <w:sz w:val="20"/>
          <w:szCs w:val="20"/>
          <w:lang w:val="en-GB"/>
        </w:rPr>
        <w:t xml:space="preserve">European Commission: Directorate-General for Communications Networks, Content and Technology, Worthington, H., Simmonds, P., Farla, K. and Varnai, P. (2018). </w:t>
      </w:r>
      <w:r w:rsidRPr="008B346E">
        <w:rPr>
          <w:rFonts w:ascii="Poppins" w:hAnsi="Poppins" w:cs="Poppins"/>
          <w:i/>
          <w:iCs/>
          <w:sz w:val="20"/>
          <w:szCs w:val="20"/>
          <w:lang w:val="en-GB"/>
        </w:rPr>
        <w:t>The silver economy – Final report</w:t>
      </w:r>
      <w:r w:rsidRPr="008B346E">
        <w:rPr>
          <w:rFonts w:ascii="Poppins" w:hAnsi="Poppins" w:cs="Poppins"/>
          <w:sz w:val="20"/>
          <w:szCs w:val="20"/>
          <w:lang w:val="en-GB"/>
        </w:rPr>
        <w:t>, Publications Office. https://data.europa.eu/doi/10.2759/685036</w:t>
      </w:r>
    </w:p>
    <w:p w14:paraId="74344F78" w14:textId="77777777" w:rsidR="00E02C5C" w:rsidRPr="008B346E" w:rsidRDefault="00E02C5C" w:rsidP="00E02C5C">
      <w:pPr>
        <w:ind w:left="340" w:hanging="340"/>
        <w:rPr>
          <w:rFonts w:ascii="Poppins" w:hAnsi="Poppins" w:cs="Poppins"/>
          <w:sz w:val="20"/>
          <w:szCs w:val="20"/>
          <w:lang w:val="en-GB"/>
        </w:rPr>
      </w:pPr>
      <w:r w:rsidRPr="008B346E">
        <w:rPr>
          <w:rFonts w:ascii="Poppins" w:hAnsi="Poppins" w:cs="Poppins"/>
          <w:sz w:val="20"/>
          <w:szCs w:val="20"/>
          <w:lang w:val="en-GB"/>
        </w:rPr>
        <w:t xml:space="preserve">Nahal, S., &amp; Ma Beijia. (2014). </w:t>
      </w:r>
      <w:r w:rsidRPr="008B346E">
        <w:rPr>
          <w:rFonts w:ascii="Poppins" w:hAnsi="Poppins" w:cs="Poppins"/>
          <w:i/>
          <w:iCs/>
          <w:sz w:val="20"/>
          <w:szCs w:val="20"/>
          <w:lang w:val="en-GB"/>
        </w:rPr>
        <w:t>The Silver Dollar – longevity revolution primer</w:t>
      </w:r>
      <w:r w:rsidRPr="008B346E">
        <w:rPr>
          <w:rFonts w:ascii="Poppins" w:hAnsi="Poppins" w:cs="Poppins"/>
          <w:sz w:val="20"/>
          <w:szCs w:val="20"/>
          <w:lang w:val="en-GB"/>
        </w:rPr>
        <w:t>. Bank of America Merrill Lynch.</w:t>
      </w:r>
    </w:p>
    <w:p w14:paraId="1E865C1E" w14:textId="77777777" w:rsidR="00E02C5C" w:rsidRPr="008B346E" w:rsidRDefault="00E02C5C" w:rsidP="00E02C5C">
      <w:pPr>
        <w:ind w:left="340" w:hanging="340"/>
        <w:rPr>
          <w:rFonts w:ascii="Poppins" w:hAnsi="Poppins" w:cs="Poppins"/>
          <w:sz w:val="20"/>
          <w:szCs w:val="20"/>
          <w:lang w:val="en-GB"/>
        </w:rPr>
      </w:pPr>
      <w:r w:rsidRPr="008B346E">
        <w:rPr>
          <w:rFonts w:ascii="Poppins" w:hAnsi="Poppins" w:cs="Poppins"/>
          <w:sz w:val="20"/>
          <w:szCs w:val="20"/>
          <w:lang w:val="en-GB"/>
        </w:rPr>
        <w:t xml:space="preserve">Oxford Economics. (2013). </w:t>
      </w:r>
      <w:r w:rsidRPr="008B346E">
        <w:rPr>
          <w:rFonts w:ascii="Poppins" w:hAnsi="Poppins" w:cs="Poppins"/>
          <w:i/>
          <w:iCs/>
          <w:sz w:val="20"/>
          <w:szCs w:val="20"/>
          <w:lang w:val="en-GB"/>
        </w:rPr>
        <w:t>The Longevity Economy. Generating economic growth and new opportunities for business</w:t>
      </w:r>
      <w:r w:rsidRPr="008B346E">
        <w:rPr>
          <w:rFonts w:ascii="Poppins" w:hAnsi="Poppins" w:cs="Poppins"/>
          <w:sz w:val="20"/>
          <w:szCs w:val="20"/>
          <w:lang w:val="en-GB"/>
        </w:rPr>
        <w:t>. AARP.</w:t>
      </w:r>
    </w:p>
    <w:p w14:paraId="2388AE69" w14:textId="77777777" w:rsidR="00E02C5C" w:rsidRPr="008B346E" w:rsidRDefault="00E02C5C" w:rsidP="00E02C5C">
      <w:pPr>
        <w:ind w:left="340" w:hanging="340"/>
        <w:rPr>
          <w:rFonts w:ascii="Poppins" w:hAnsi="Poppins" w:cs="Poppins"/>
          <w:sz w:val="20"/>
          <w:szCs w:val="20"/>
          <w:lang w:val="en-GB"/>
        </w:rPr>
      </w:pPr>
      <w:r w:rsidRPr="008B346E">
        <w:rPr>
          <w:rFonts w:ascii="Poppins" w:hAnsi="Poppins" w:cs="Poppins"/>
          <w:sz w:val="20"/>
          <w:szCs w:val="20"/>
          <w:lang w:val="en-GB"/>
        </w:rPr>
        <w:t xml:space="preserve">Oxford Economics. (2016). </w:t>
      </w:r>
      <w:r w:rsidRPr="008B346E">
        <w:rPr>
          <w:rFonts w:ascii="Poppins" w:hAnsi="Poppins" w:cs="Poppins"/>
          <w:i/>
          <w:iCs/>
          <w:sz w:val="20"/>
          <w:szCs w:val="20"/>
          <w:lang w:val="en-GB"/>
        </w:rPr>
        <w:t>The Longevity Economy. How People Over 50 Are Driving Economic and Social Value in the US</w:t>
      </w:r>
      <w:r w:rsidRPr="008B346E">
        <w:rPr>
          <w:rFonts w:ascii="Poppins" w:hAnsi="Poppins" w:cs="Poppins"/>
          <w:sz w:val="20"/>
          <w:szCs w:val="20"/>
          <w:lang w:val="en-GB"/>
        </w:rPr>
        <w:t>. AARP.</w:t>
      </w:r>
    </w:p>
    <w:p w14:paraId="0A8AAC8A" w14:textId="77777777" w:rsidR="00E02C5C" w:rsidRPr="00E02C5C" w:rsidRDefault="00E02C5C" w:rsidP="00E02C5C">
      <w:pPr>
        <w:rPr>
          <w:lang w:val="en-GB" w:eastAsia="en-US"/>
        </w:rPr>
      </w:pPr>
    </w:p>
    <w:sectPr w:rsidR="00E02C5C" w:rsidRPr="00E02C5C">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E4E80" w14:textId="77777777" w:rsidR="00EC47EA" w:rsidRDefault="00EC47EA" w:rsidP="0079697F">
      <w:r>
        <w:separator/>
      </w:r>
    </w:p>
  </w:endnote>
  <w:endnote w:type="continuationSeparator" w:id="0">
    <w:p w14:paraId="0AE9257E" w14:textId="77777777" w:rsidR="00EC47EA" w:rsidRDefault="00EC47EA" w:rsidP="0079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0B5AD" w14:textId="77777777" w:rsidR="00EC47EA" w:rsidRDefault="00EC47EA" w:rsidP="0079697F">
      <w:r>
        <w:separator/>
      </w:r>
    </w:p>
  </w:footnote>
  <w:footnote w:type="continuationSeparator" w:id="0">
    <w:p w14:paraId="1EBFF1E5" w14:textId="77777777" w:rsidR="00EC47EA" w:rsidRDefault="00EC47EA" w:rsidP="0079697F">
      <w:r>
        <w:continuationSeparator/>
      </w:r>
    </w:p>
  </w:footnote>
  <w:footnote w:id="1">
    <w:p w14:paraId="5BCE2140" w14:textId="77777777" w:rsidR="008D7BBA" w:rsidRPr="00113377" w:rsidRDefault="008D7BBA" w:rsidP="008D7BBA">
      <w:pPr>
        <w:pStyle w:val="Testonotaapidipagina"/>
        <w:rPr>
          <w:lang w:val="en-GB"/>
        </w:rPr>
      </w:pPr>
      <w:r w:rsidRPr="00113377">
        <w:rPr>
          <w:rStyle w:val="Rimandonotaapidipagina"/>
          <w:lang w:val="en-GB"/>
        </w:rPr>
        <w:footnoteRef/>
      </w:r>
      <w:r w:rsidRPr="00113377">
        <w:rPr>
          <w:lang w:val="en-GB"/>
        </w:rPr>
        <w:t>Non senza preoccupazione, la Commissione rileva inoltre che, attualmente, una quota considerevole della domanda di beni e servizi nel mercato dell'argento è soddisfatta attraverso importazioni da paesi extraeuropei, in particolare nel caso di beni tecnologici (Commissione europea, 2015, pag. 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615D" w14:textId="6B830D7B" w:rsidR="0079697F" w:rsidRDefault="0079697F">
    <w:pPr>
      <w:pStyle w:val="Intestazione"/>
    </w:pPr>
    <w:r>
      <w:rPr>
        <w:noProof/>
      </w:rPr>
      <w:drawing>
        <wp:anchor distT="0" distB="0" distL="114300" distR="114300" simplePos="0" relativeHeight="251659264" behindDoc="0" locked="0" layoutInCell="1" hidden="0" allowOverlap="1" wp14:anchorId="1DA90A4B" wp14:editId="6CEC7A85">
          <wp:simplePos x="0" y="0"/>
          <wp:positionH relativeFrom="page">
            <wp:posOffset>15755</wp:posOffset>
          </wp:positionH>
          <wp:positionV relativeFrom="paragraph">
            <wp:posOffset>-433121</wp:posOffset>
          </wp:positionV>
          <wp:extent cx="7561580" cy="885825"/>
          <wp:effectExtent l="0" t="0" r="1270" b="9525"/>
          <wp:wrapNone/>
          <wp:docPr id="1455172115" name="image1.png" descr="Immagine che contiene testo, schermata,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455172115" name="image1.png" descr="Immagine che contiene testo, schermata, Elementi grafici, logo&#10;&#10;Il contenuto generato dall'IA potrebbe non essere corretto."/>
                  <pic:cNvPicPr preferRelativeResize="0"/>
                </pic:nvPicPr>
                <pic:blipFill>
                  <a:blip r:embed="rId1"/>
                  <a:srcRect/>
                  <a:stretch>
                    <a:fillRect/>
                  </a:stretch>
                </pic:blipFill>
                <pic:spPr>
                  <a:xfrm>
                    <a:off x="0" y="0"/>
                    <a:ext cx="7561580" cy="88582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36CB4A"/>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20906CDF"/>
    <w:multiLevelType w:val="hybridMultilevel"/>
    <w:tmpl w:val="2C203A5E"/>
    <w:lvl w:ilvl="0" w:tplc="A47C9752">
      <w:start w:val="1"/>
      <w:numFmt w:val="bullet"/>
      <w:lvlText w:val=""/>
      <w:lvlJc w:val="left"/>
      <w:pPr>
        <w:tabs>
          <w:tab w:val="num" w:pos="432"/>
        </w:tabs>
        <w:ind w:left="432" w:hanging="432"/>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D12C33"/>
    <w:multiLevelType w:val="hybridMultilevel"/>
    <w:tmpl w:val="C3CE2BF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A0810F7"/>
    <w:multiLevelType w:val="multilevel"/>
    <w:tmpl w:val="03647D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772E68BD"/>
    <w:multiLevelType w:val="multilevel"/>
    <w:tmpl w:val="D63EA9C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num w:numId="1" w16cid:durableId="186449925">
    <w:abstractNumId w:val="4"/>
  </w:num>
  <w:num w:numId="2" w16cid:durableId="1784156693">
    <w:abstractNumId w:val="3"/>
  </w:num>
  <w:num w:numId="3" w16cid:durableId="728652233">
    <w:abstractNumId w:val="0"/>
  </w:num>
  <w:num w:numId="4" w16cid:durableId="830750631">
    <w:abstractNumId w:val="1"/>
  </w:num>
  <w:num w:numId="5" w16cid:durableId="848101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7F"/>
    <w:rsid w:val="00036AF9"/>
    <w:rsid w:val="000B13C7"/>
    <w:rsid w:val="00151460"/>
    <w:rsid w:val="001B0E6D"/>
    <w:rsid w:val="001B3BE3"/>
    <w:rsid w:val="001F2272"/>
    <w:rsid w:val="00207AB3"/>
    <w:rsid w:val="002F6176"/>
    <w:rsid w:val="0040179F"/>
    <w:rsid w:val="004C207B"/>
    <w:rsid w:val="004F0188"/>
    <w:rsid w:val="005D01DF"/>
    <w:rsid w:val="00640CE0"/>
    <w:rsid w:val="007271A8"/>
    <w:rsid w:val="007657C5"/>
    <w:rsid w:val="00775CAA"/>
    <w:rsid w:val="007869FB"/>
    <w:rsid w:val="0079697F"/>
    <w:rsid w:val="007C7C9C"/>
    <w:rsid w:val="00806D9D"/>
    <w:rsid w:val="00854359"/>
    <w:rsid w:val="008D1363"/>
    <w:rsid w:val="008D7BBA"/>
    <w:rsid w:val="009770E2"/>
    <w:rsid w:val="009E1892"/>
    <w:rsid w:val="009E731E"/>
    <w:rsid w:val="00A0407F"/>
    <w:rsid w:val="00A42980"/>
    <w:rsid w:val="00A65CF0"/>
    <w:rsid w:val="00AF1B49"/>
    <w:rsid w:val="00B63973"/>
    <w:rsid w:val="00B72DDC"/>
    <w:rsid w:val="00C72F59"/>
    <w:rsid w:val="00C875F3"/>
    <w:rsid w:val="00CC5476"/>
    <w:rsid w:val="00CF3DA8"/>
    <w:rsid w:val="00D173AF"/>
    <w:rsid w:val="00D42E8F"/>
    <w:rsid w:val="00D45CD0"/>
    <w:rsid w:val="00D57771"/>
    <w:rsid w:val="00DA4184"/>
    <w:rsid w:val="00DA45F1"/>
    <w:rsid w:val="00DB3E72"/>
    <w:rsid w:val="00DD64CA"/>
    <w:rsid w:val="00E02C5C"/>
    <w:rsid w:val="00EB31EA"/>
    <w:rsid w:val="00EC47EA"/>
    <w:rsid w:val="00F12A1B"/>
    <w:rsid w:val="00F35BB5"/>
    <w:rsid w:val="00F55DBB"/>
    <w:rsid w:val="00F6771C"/>
    <w:rsid w:val="00F72983"/>
    <w:rsid w:val="00F81A84"/>
    <w:rsid w:val="00FC0CFC"/>
    <w:rsid w:val="00FF6F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505FA91"/>
  <w15:chartTrackingRefBased/>
  <w15:docId w15:val="{FFF77312-46C4-D045-A2FD-4916CAB2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B3E72"/>
    <w:pPr>
      <w:spacing w:after="160" w:line="259" w:lineRule="auto"/>
    </w:pPr>
    <w:rPr>
      <w:rFonts w:ascii="Calibri" w:eastAsia="Calibri" w:hAnsi="Calibri" w:cs="Calibri"/>
      <w:kern w:val="0"/>
      <w:sz w:val="22"/>
      <w:szCs w:val="22"/>
      <w:lang w:val="it" w:eastAsia="it-IT"/>
      <w14:ligatures w14:val="none"/>
    </w:rPr>
  </w:style>
  <w:style w:type="paragraph" w:styleId="Titolo1">
    <w:name w:val="heading 1"/>
    <w:basedOn w:val="Normale"/>
    <w:next w:val="Normale"/>
    <w:link w:val="Titolo1Carattere"/>
    <w:uiPriority w:val="9"/>
    <w:qFormat/>
    <w:rsid w:val="0079697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unhideWhenUsed/>
    <w:qFormat/>
    <w:rsid w:val="0079697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9697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796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96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96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6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6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6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6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96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96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96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96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96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6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6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6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697F"/>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96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697F"/>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96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697F"/>
    <w:pPr>
      <w:spacing w:before="160" w:line="240"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79697F"/>
    <w:rPr>
      <w:i/>
      <w:iCs/>
      <w:color w:val="404040" w:themeColor="text1" w:themeTint="BF"/>
    </w:rPr>
  </w:style>
  <w:style w:type="paragraph" w:styleId="Paragrafoelenco">
    <w:name w:val="List Paragraph"/>
    <w:basedOn w:val="Normale"/>
    <w:uiPriority w:val="34"/>
    <w:qFormat/>
    <w:rsid w:val="0079697F"/>
    <w:pPr>
      <w:spacing w:after="0" w:line="240"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79697F"/>
    <w:rPr>
      <w:i/>
      <w:iCs/>
      <w:color w:val="0F4761" w:themeColor="accent1" w:themeShade="BF"/>
    </w:rPr>
  </w:style>
  <w:style w:type="paragraph" w:styleId="Citazioneintensa">
    <w:name w:val="Intense Quote"/>
    <w:basedOn w:val="Normale"/>
    <w:next w:val="Normale"/>
    <w:link w:val="CitazioneintensaCarattere"/>
    <w:uiPriority w:val="30"/>
    <w:qFormat/>
    <w:rsid w:val="0079697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9697F"/>
    <w:rPr>
      <w:i/>
      <w:iCs/>
      <w:color w:val="0F4761" w:themeColor="accent1" w:themeShade="BF"/>
    </w:rPr>
  </w:style>
  <w:style w:type="character" w:styleId="Riferimentointenso">
    <w:name w:val="Intense Reference"/>
    <w:basedOn w:val="Carpredefinitoparagrafo"/>
    <w:uiPriority w:val="32"/>
    <w:qFormat/>
    <w:rsid w:val="0079697F"/>
    <w:rPr>
      <w:b/>
      <w:bCs/>
      <w:smallCaps/>
      <w:color w:val="0F4761" w:themeColor="accent1" w:themeShade="BF"/>
      <w:spacing w:val="5"/>
    </w:rPr>
  </w:style>
  <w:style w:type="paragraph" w:styleId="Intestazione">
    <w:name w:val="header"/>
    <w:basedOn w:val="Normale"/>
    <w:link w:val="Intestazione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IntestazioneCarattere">
    <w:name w:val="Intestazione Carattere"/>
    <w:basedOn w:val="Carpredefinitoparagrafo"/>
    <w:link w:val="Intestazione"/>
    <w:uiPriority w:val="99"/>
    <w:rsid w:val="0079697F"/>
  </w:style>
  <w:style w:type="paragraph" w:styleId="Pidipagina">
    <w:name w:val="footer"/>
    <w:basedOn w:val="Normale"/>
    <w:link w:val="PidipaginaCarattere"/>
    <w:uiPriority w:val="99"/>
    <w:unhideWhenUsed/>
    <w:rsid w:val="0079697F"/>
    <w:pPr>
      <w:tabs>
        <w:tab w:val="center" w:pos="4819"/>
        <w:tab w:val="right" w:pos="9638"/>
      </w:tabs>
    </w:pPr>
  </w:style>
  <w:style w:type="character" w:customStyle="1" w:styleId="PidipaginaCarattere">
    <w:name w:val="Piè di pagina Carattere"/>
    <w:basedOn w:val="Carpredefinitoparagrafo"/>
    <w:link w:val="Pidipagina"/>
    <w:uiPriority w:val="99"/>
    <w:rsid w:val="0079697F"/>
  </w:style>
  <w:style w:type="paragraph" w:styleId="Testonotaapidipagina">
    <w:name w:val="footnote text"/>
    <w:basedOn w:val="Normale"/>
    <w:link w:val="TestonotaapidipaginaCarattere"/>
    <w:uiPriority w:val="99"/>
    <w:unhideWhenUsed/>
    <w:rsid w:val="00F6771C"/>
    <w:pPr>
      <w:spacing w:after="0" w:line="240" w:lineRule="auto"/>
      <w:jc w:val="both"/>
    </w:pPr>
    <w:rPr>
      <w:rFonts w:ascii="Times New Roman" w:eastAsiaTheme="minorHAnsi" w:hAnsi="Times New Roman" w:cstheme="minorBidi"/>
      <w:sz w:val="18"/>
      <w:szCs w:val="20"/>
      <w:lang w:eastAsia="ja-JP"/>
    </w:rPr>
  </w:style>
  <w:style w:type="character" w:customStyle="1" w:styleId="TestonotaapidipaginaCarattere">
    <w:name w:val="Testo nota a piè di pagina Carattere"/>
    <w:basedOn w:val="Carpredefinitoparagrafo"/>
    <w:link w:val="Testonotaapidipagina"/>
    <w:uiPriority w:val="99"/>
    <w:rsid w:val="00F6771C"/>
    <w:rPr>
      <w:rFonts w:ascii="Times New Roman" w:hAnsi="Times New Roman"/>
      <w:kern w:val="0"/>
      <w:sz w:val="18"/>
      <w:szCs w:val="20"/>
      <w:lang w:val="it" w:eastAsia="ja-JP"/>
      <w14:ligatures w14:val="none"/>
    </w:rPr>
  </w:style>
  <w:style w:type="character" w:styleId="Rimandonotaapidipagina">
    <w:name w:val="footnote reference"/>
    <w:basedOn w:val="Carpredefinitoparagrafo"/>
    <w:uiPriority w:val="99"/>
    <w:semiHidden/>
    <w:unhideWhenUsed/>
    <w:rsid w:val="00F6771C"/>
    <w:rPr>
      <w:vertAlign w:val="superscript"/>
    </w:rPr>
  </w:style>
  <w:style w:type="table" w:styleId="Grigliatabella">
    <w:name w:val="Table Grid"/>
    <w:basedOn w:val="Tabellanormale"/>
    <w:uiPriority w:val="39"/>
    <w:rsid w:val="000B13C7"/>
    <w:rPr>
      <w:rFonts w:ascii="Calibri" w:eastAsia="Times New Roman" w:hAnsi="Calibri" w:cs="Times New Roman"/>
      <w:kern w:val="0"/>
      <w:sz w:val="20"/>
      <w:szCs w:val="20"/>
      <w:lang w:val="it"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Puntoelenco">
    <w:name w:val="List Bullet"/>
    <w:basedOn w:val="Normale"/>
    <w:uiPriority w:val="9"/>
    <w:qFormat/>
    <w:rsid w:val="000B13C7"/>
    <w:pPr>
      <w:numPr>
        <w:numId w:val="3"/>
      </w:numPr>
      <w:tabs>
        <w:tab w:val="clear" w:pos="360"/>
        <w:tab w:val="num" w:pos="432"/>
      </w:tabs>
      <w:spacing w:before="120" w:after="120" w:line="240" w:lineRule="auto"/>
      <w:ind w:left="0" w:firstLine="0"/>
      <w:contextualSpacing/>
      <w:jc w:val="both"/>
    </w:pPr>
    <w:rPr>
      <w:rFonts w:ascii="Times New Roman" w:eastAsiaTheme="minorHAnsi" w:hAnsi="Times New Roman" w:cstheme="minorBidi"/>
      <w:szCs w:val="30"/>
      <w:lang w:eastAsia="ja-JP"/>
    </w:rPr>
  </w:style>
  <w:style w:type="paragraph" w:styleId="Didascalia">
    <w:name w:val="caption"/>
    <w:basedOn w:val="Normale"/>
    <w:next w:val="Normale"/>
    <w:uiPriority w:val="35"/>
    <w:unhideWhenUsed/>
    <w:qFormat/>
    <w:rsid w:val="000B13C7"/>
    <w:pPr>
      <w:keepNext/>
      <w:spacing w:before="240" w:after="0" w:line="240" w:lineRule="auto"/>
      <w:jc w:val="both"/>
    </w:pPr>
    <w:rPr>
      <w:rFonts w:ascii="Times New Roman" w:eastAsiaTheme="minorHAnsi" w:hAnsi="Times New Roman" w:cstheme="minorBidi"/>
      <w:i/>
      <w:iCs/>
      <w:sz w:val="20"/>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1165</Words>
  <Characters>6642</Characters>
  <Application>Microsoft Office Word</Application>
  <DocSecurity>0</DocSecurity>
  <Lines>55</Lines>
  <Paragraphs>15</Paragraphs>
  <ScaleCrop>false</ScaleCrop>
  <Company/>
  <LinksUpToDate>false</LinksUpToDate>
  <CharactersWithSpaces>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corradodecristofaro0@gmail.com</dc:creator>
  <cp:keywords/>
  <dc:description/>
  <cp:lastModifiedBy>corradodecristofaro0@gmail.com</cp:lastModifiedBy>
  <cp:revision>20</cp:revision>
  <dcterms:created xsi:type="dcterms:W3CDTF">2025-09-29T20:31:00Z</dcterms:created>
  <dcterms:modified xsi:type="dcterms:W3CDTF">2025-10-01T15:31:00Z</dcterms:modified>
</cp:coreProperties>
</file>