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97CCF" w14:textId="77777777" w:rsidR="00DD64CA" w:rsidRPr="007C7C9C" w:rsidRDefault="00DD64CA" w:rsidP="007C7C9C">
      <w:pPr>
        <w:pStyle w:val="Titolo2"/>
        <w:jc w:val="center"/>
        <w:rPr>
          <w:rFonts w:ascii="Poppins" w:hAnsi="Poppins" w:cs="Poppins"/>
          <w:color w:val="124F1A" w:themeColor="accent3" w:themeShade="BF"/>
          <w:sz w:val="36"/>
          <w:szCs w:val="36"/>
          <w:lang w:val="en-GB"/>
        </w:rPr>
      </w:pPr>
      <w:bookmarkStart w:id="0" w:name="_Toc188282649"/>
    </w:p>
    <w:p w14:paraId="1B4B3D78" w14:textId="77777777" w:rsidR="007C7C9C" w:rsidRDefault="007C7C9C" w:rsidP="007C7C9C">
      <w:pPr>
        <w:pStyle w:val="Titolo2"/>
        <w:jc w:val="center"/>
        <w:rPr>
          <w:rFonts w:ascii="Poppins" w:hAnsi="Poppins" w:cs="Poppins"/>
          <w:color w:val="124F1A" w:themeColor="accent3" w:themeShade="BF"/>
          <w:sz w:val="36"/>
          <w:szCs w:val="36"/>
          <w:lang w:val="en-GB"/>
        </w:rPr>
      </w:pPr>
      <w:bookmarkStart w:id="1" w:name="_Toc187013364"/>
      <w:bookmarkStart w:id="2" w:name="_Toc188269391"/>
      <w:bookmarkStart w:id="3" w:name="_Toc188282652"/>
      <w:bookmarkEnd w:id="0"/>
      <w:r w:rsidRPr="007C7C9C">
        <w:rPr>
          <w:rFonts w:ascii="Poppins" w:hAnsi="Poppins" w:cs="Poppins"/>
          <w:color w:val="124F1A" w:themeColor="accent3" w:themeShade="BF"/>
          <w:sz w:val="36"/>
          <w:szCs w:val="36"/>
          <w:lang w:val="en-GB"/>
        </w:rPr>
        <w:t>Accesso ai servizi sanitari</w:t>
      </w:r>
      <w:bookmarkEnd w:id="1"/>
      <w:bookmarkEnd w:id="2"/>
      <w:bookmarkEnd w:id="3"/>
    </w:p>
    <w:p w14:paraId="6F702FFD" w14:textId="77777777" w:rsidR="007C7C9C" w:rsidRPr="007C7C9C" w:rsidRDefault="007C7C9C" w:rsidP="007C7C9C">
      <w:pPr>
        <w:rPr>
          <w:lang w:val="en-GB" w:eastAsia="en-US"/>
        </w:rPr>
      </w:pPr>
    </w:p>
    <w:p w14:paraId="3081D2E7" w14:textId="7659EFD7" w:rsidR="007C7C9C" w:rsidRPr="008B346E" w:rsidRDefault="007C7C9C" w:rsidP="007C7C9C">
      <w:pPr>
        <w:jc w:val="both"/>
        <w:rPr>
          <w:rFonts w:ascii="Poppins" w:hAnsi="Poppins" w:cs="Poppins"/>
          <w:sz w:val="20"/>
          <w:szCs w:val="20"/>
          <w:lang w:val="en-GB"/>
        </w:rPr>
      </w:pPr>
      <w:r w:rsidRPr="008B346E">
        <w:rPr>
          <w:rFonts w:ascii="Poppins" w:hAnsi="Poppins" w:cs="Poppins"/>
          <w:sz w:val="20"/>
          <w:szCs w:val="20"/>
          <w:lang w:val="en-GB"/>
        </w:rPr>
        <w:t>In una società che invecchia, garantire un accesso adeguato ed equo ai servizi sanitari è essenziale per sostenere il benessere degli anziani. Nell'ambito della cosiddetta "silver economy", l'analisi dell'accesso all'assistenza sanitaria consente ai decisori politici e alle parti interessate di identificare le lacune nell'erogazione dei servizi, valutare l'onere finanziario per gli anziani e sviluppare strategie per migliorare la loro qualità di vita. Dati affidabili e dettagliati sull'utilizzo dell'assistenza sanitaria, sulla spesa, sull'assistenza a lungo termine e sui bisogni insoddisfatti della popolazione anziana costituiscono una base fondamentale per la progettazione di interventi efficaci e la valutazione del loro impatto. È opportuno notare che, nell'approccio tradizionale alla "silver economy", sebbene la domanda di servizi e beni sanitari sia riconosciuta come uno dei pilastri del mercato dell'assistenza sanitaria, il fatto che questa domanda sia principalmente rivolta allo stato sociale viene spesso trascurato. Pur riconoscendo il ruolo fondamentale dello stato sociale nel garantire un accesso equo all'assistenza sanitaria, l'attenzione si concentra sempre più sulla promozione di un mercato privato in grado di soddisfare una quota significativa di questa domanda. Questo obiettivo viene perseguito attraverso la promozione di soluzioni innovative che integrino e migliorino i servizi pubblici esistenti. Di seguito è riportata una tabella di indicatori selezionati, organizzati per dimensione, che possono essere utilizzati per esaminare l'accesso e la struttura dei servizi sanitari all'interno della silver economy.</w:t>
      </w:r>
    </w:p>
    <w:p w14:paraId="7F84A521" w14:textId="77777777" w:rsidR="007C7C9C" w:rsidRPr="008B346E" w:rsidRDefault="007C7C9C" w:rsidP="007C7C9C">
      <w:pPr>
        <w:pStyle w:val="Didascalia"/>
        <w:rPr>
          <w:rFonts w:ascii="Poppins" w:hAnsi="Poppins" w:cs="Poppins"/>
          <w:szCs w:val="20"/>
          <w:lang w:val="en-GB"/>
        </w:rPr>
      </w:pPr>
      <w:r w:rsidRPr="008B346E">
        <w:rPr>
          <w:rFonts w:ascii="Poppins" w:hAnsi="Poppins" w:cs="Poppins"/>
          <w:szCs w:val="20"/>
          <w:lang w:val="en-GB"/>
        </w:rPr>
        <w:t xml:space="preserve">Tabella </w:t>
      </w:r>
      <w:r w:rsidRPr="008B346E">
        <w:rPr>
          <w:rFonts w:ascii="Poppins" w:hAnsi="Poppins" w:cs="Poppins"/>
          <w:noProof/>
          <w:szCs w:val="20"/>
          <w:lang w:val="en-GB"/>
        </w:rPr>
        <w:t xml:space="preserve">17 </w:t>
      </w:r>
      <w:r w:rsidRPr="008B346E">
        <w:rPr>
          <w:rFonts w:ascii="Poppins" w:hAnsi="Poppins" w:cs="Poppins"/>
          <w:szCs w:val="20"/>
          <w:lang w:val="en-GB"/>
        </w:rPr>
        <w:t>- Indicatori dei servizi sanitari.</w:t>
      </w:r>
    </w:p>
    <w:tbl>
      <w:tblPr>
        <w:tblStyle w:val="Grigliatabella"/>
        <w:tblW w:w="0" w:type="auto"/>
        <w:tblInd w:w="0" w:type="dxa"/>
        <w:tblLook w:val="04A0" w:firstRow="1" w:lastRow="0" w:firstColumn="1" w:lastColumn="0" w:noHBand="0" w:noVBand="1"/>
      </w:tblPr>
      <w:tblGrid>
        <w:gridCol w:w="2754"/>
        <w:gridCol w:w="6874"/>
      </w:tblGrid>
      <w:tr w:rsidR="007C7C9C" w:rsidRPr="008B346E" w14:paraId="6A2AE6EE" w14:textId="77777777" w:rsidTr="00B74592">
        <w:tc>
          <w:tcPr>
            <w:tcW w:w="0" w:type="auto"/>
            <w:tcMar>
              <w:left w:w="57" w:type="dxa"/>
              <w:right w:w="57" w:type="dxa"/>
            </w:tcMar>
          </w:tcPr>
          <w:p w14:paraId="1EBFF28E" w14:textId="77777777" w:rsidR="007C7C9C" w:rsidRPr="008B346E" w:rsidRDefault="007C7C9C" w:rsidP="00B74592">
            <w:pPr>
              <w:jc w:val="both"/>
              <w:rPr>
                <w:rFonts w:ascii="Poppins" w:hAnsi="Poppins" w:cs="Poppins"/>
                <w:b/>
                <w:bCs/>
                <w:lang w:val="en-GB"/>
              </w:rPr>
            </w:pPr>
            <w:r w:rsidRPr="008B346E">
              <w:rPr>
                <w:rFonts w:ascii="Poppins" w:hAnsi="Poppins" w:cs="Poppins"/>
                <w:b/>
                <w:bCs/>
                <w:lang w:val="en-GB"/>
              </w:rPr>
              <w:t>Indicatore o classe di indicatori</w:t>
            </w:r>
          </w:p>
        </w:tc>
        <w:tc>
          <w:tcPr>
            <w:tcW w:w="0" w:type="auto"/>
            <w:tcMar>
              <w:left w:w="57" w:type="dxa"/>
              <w:right w:w="57" w:type="dxa"/>
            </w:tcMar>
          </w:tcPr>
          <w:p w14:paraId="44C8E5F6" w14:textId="77777777" w:rsidR="007C7C9C" w:rsidRPr="008B346E" w:rsidRDefault="007C7C9C" w:rsidP="00B74592">
            <w:pPr>
              <w:jc w:val="both"/>
              <w:rPr>
                <w:rFonts w:ascii="Poppins" w:hAnsi="Poppins" w:cs="Poppins"/>
                <w:b/>
                <w:bCs/>
                <w:lang w:val="en-GB"/>
              </w:rPr>
            </w:pPr>
            <w:r w:rsidRPr="008B346E">
              <w:rPr>
                <w:rFonts w:ascii="Poppins" w:hAnsi="Poppins" w:cs="Poppins"/>
                <w:b/>
                <w:bCs/>
                <w:lang w:val="en-GB"/>
              </w:rPr>
              <w:t>Descrizione e fonte</w:t>
            </w:r>
          </w:p>
        </w:tc>
      </w:tr>
      <w:tr w:rsidR="007C7C9C" w:rsidRPr="008B346E" w14:paraId="54D1F758" w14:textId="77777777" w:rsidTr="00B74592">
        <w:tc>
          <w:tcPr>
            <w:tcW w:w="0" w:type="auto"/>
            <w:gridSpan w:val="2"/>
            <w:tcMar>
              <w:left w:w="57" w:type="dxa"/>
              <w:right w:w="57" w:type="dxa"/>
            </w:tcMar>
          </w:tcPr>
          <w:p w14:paraId="0AEA2D21" w14:textId="77777777" w:rsidR="007C7C9C" w:rsidRPr="008B346E" w:rsidRDefault="007C7C9C" w:rsidP="00B74592">
            <w:pPr>
              <w:jc w:val="both"/>
              <w:rPr>
                <w:rFonts w:ascii="Poppins" w:hAnsi="Poppins" w:cs="Poppins"/>
                <w:b/>
                <w:bCs/>
                <w:lang w:val="en-GB"/>
              </w:rPr>
            </w:pPr>
            <w:r w:rsidRPr="008B346E">
              <w:rPr>
                <w:rFonts w:ascii="Poppins" w:hAnsi="Poppins" w:cs="Poppins"/>
                <w:b/>
                <w:bCs/>
                <w:lang w:val="en-GB"/>
              </w:rPr>
              <w:t xml:space="preserve">Indicatori microeconomici: </w:t>
            </w:r>
            <w:r w:rsidRPr="008B346E">
              <w:rPr>
                <w:rFonts w:ascii="Poppins" w:hAnsi="Poppins" w:cs="Poppins"/>
                <w:b/>
                <w:bCs/>
                <w:i/>
                <w:iCs/>
                <w:lang w:val="en-GB"/>
              </w:rPr>
              <w:t xml:space="preserve">utilizzo dell'assistenza sanitaria auto-riferito </w:t>
            </w:r>
            <w:r w:rsidRPr="008B346E">
              <w:rPr>
                <w:rFonts w:ascii="Poppins" w:hAnsi="Poppins" w:cs="Poppins"/>
                <w:i/>
                <w:iCs/>
                <w:lang w:val="en-GB"/>
              </w:rPr>
              <w:t>(per fascia d'età)</w:t>
            </w:r>
          </w:p>
        </w:tc>
      </w:tr>
      <w:tr w:rsidR="007C7C9C" w:rsidRPr="008B346E" w14:paraId="23D768AA" w14:textId="77777777" w:rsidTr="00B74592">
        <w:tc>
          <w:tcPr>
            <w:tcW w:w="0" w:type="auto"/>
            <w:tcMar>
              <w:left w:w="57" w:type="dxa"/>
              <w:right w:w="57" w:type="dxa"/>
            </w:tcMar>
          </w:tcPr>
          <w:p w14:paraId="160AD931" w14:textId="77777777" w:rsidR="007C7C9C" w:rsidRPr="008B346E" w:rsidRDefault="007C7C9C" w:rsidP="00B74592">
            <w:pPr>
              <w:jc w:val="both"/>
              <w:rPr>
                <w:rFonts w:ascii="Poppins" w:hAnsi="Poppins" w:cs="Poppins"/>
                <w:lang w:val="en-GB"/>
              </w:rPr>
            </w:pPr>
            <w:r w:rsidRPr="008B346E">
              <w:rPr>
                <w:rFonts w:ascii="Poppins" w:hAnsi="Poppins" w:cs="Poppins"/>
                <w:lang w:val="en-GB"/>
              </w:rPr>
              <w:t>Utilizzo di strutture ospedaliere e diurne</w:t>
            </w:r>
          </w:p>
        </w:tc>
        <w:tc>
          <w:tcPr>
            <w:tcW w:w="0" w:type="auto"/>
            <w:tcMar>
              <w:left w:w="57" w:type="dxa"/>
              <w:right w:w="57" w:type="dxa"/>
            </w:tcMar>
          </w:tcPr>
          <w:p w14:paraId="393AE7B2" w14:textId="77777777" w:rsidR="007C7C9C" w:rsidRPr="008B346E" w:rsidRDefault="007C7C9C" w:rsidP="00B74592">
            <w:pPr>
              <w:jc w:val="both"/>
              <w:rPr>
                <w:rFonts w:ascii="Poppins" w:hAnsi="Poppins" w:cs="Poppins"/>
                <w:lang w:val="en-GB"/>
              </w:rPr>
            </w:pPr>
            <w:r w:rsidRPr="008B346E">
              <w:rPr>
                <w:rFonts w:ascii="Poppins" w:hAnsi="Poppins" w:cs="Poppins"/>
                <w:lang w:val="en-GB"/>
              </w:rPr>
              <w:t>Numero medio di notti trascorse in ospedale (ricovero ospedaliero) e numero medio di ricoveri in centri diurni tra la popolazione (anziana) negli ultimi 12 mesi. Fonte: EHIS.</w:t>
            </w:r>
          </w:p>
        </w:tc>
      </w:tr>
      <w:tr w:rsidR="007C7C9C" w:rsidRPr="008B346E" w14:paraId="6E354331" w14:textId="77777777" w:rsidTr="00B74592">
        <w:tc>
          <w:tcPr>
            <w:tcW w:w="0" w:type="auto"/>
            <w:tcMar>
              <w:left w:w="57" w:type="dxa"/>
              <w:right w:w="57" w:type="dxa"/>
            </w:tcMar>
          </w:tcPr>
          <w:p w14:paraId="19D702CC" w14:textId="77777777" w:rsidR="007C7C9C" w:rsidRPr="008B346E" w:rsidRDefault="007C7C9C" w:rsidP="00B74592">
            <w:pPr>
              <w:jc w:val="both"/>
              <w:rPr>
                <w:rFonts w:ascii="Poppins" w:hAnsi="Poppins" w:cs="Poppins"/>
                <w:lang w:val="en-GB"/>
              </w:rPr>
            </w:pPr>
            <w:r w:rsidRPr="008B346E">
              <w:rPr>
                <w:rFonts w:ascii="Poppins" w:hAnsi="Poppins" w:cs="Poppins"/>
                <w:lang w:val="en-GB"/>
              </w:rPr>
              <w:t>Servizi odontoiatrici ambulatoriali</w:t>
            </w:r>
          </w:p>
        </w:tc>
        <w:tc>
          <w:tcPr>
            <w:tcW w:w="0" w:type="auto"/>
            <w:tcMar>
              <w:left w:w="57" w:type="dxa"/>
              <w:right w:w="57" w:type="dxa"/>
            </w:tcMar>
          </w:tcPr>
          <w:p w14:paraId="6893190F" w14:textId="77777777" w:rsidR="007C7C9C" w:rsidRPr="008B346E" w:rsidRDefault="007C7C9C" w:rsidP="00B74592">
            <w:pPr>
              <w:jc w:val="both"/>
              <w:rPr>
                <w:rFonts w:ascii="Poppins" w:hAnsi="Poppins" w:cs="Poppins"/>
                <w:lang w:val="en-GB"/>
              </w:rPr>
            </w:pPr>
            <w:r w:rsidRPr="008B346E">
              <w:rPr>
                <w:rFonts w:ascii="Poppins" w:hAnsi="Poppins" w:cs="Poppins"/>
                <w:lang w:val="en-GB"/>
              </w:rPr>
              <w:t>Percentuale della popolazione (anziana) che ha dichiarato di essersi rivolta a un dentista o a un ortodontista nel recente passato. Fonte: EHIS.</w:t>
            </w:r>
          </w:p>
        </w:tc>
      </w:tr>
      <w:tr w:rsidR="007C7C9C" w:rsidRPr="008B346E" w14:paraId="408D3B7D" w14:textId="77777777" w:rsidTr="00B74592">
        <w:tc>
          <w:tcPr>
            <w:tcW w:w="0" w:type="auto"/>
            <w:tcMar>
              <w:left w:w="57" w:type="dxa"/>
              <w:right w:w="57" w:type="dxa"/>
            </w:tcMar>
          </w:tcPr>
          <w:p w14:paraId="0C5F9A7A" w14:textId="77777777" w:rsidR="007C7C9C" w:rsidRPr="008B346E" w:rsidRDefault="007C7C9C" w:rsidP="00B74592">
            <w:pPr>
              <w:jc w:val="both"/>
              <w:rPr>
                <w:rFonts w:ascii="Poppins" w:hAnsi="Poppins" w:cs="Poppins"/>
                <w:lang w:val="en-GB"/>
              </w:rPr>
            </w:pPr>
            <w:r w:rsidRPr="008B346E">
              <w:rPr>
                <w:rFonts w:ascii="Poppins" w:hAnsi="Poppins" w:cs="Poppins"/>
                <w:lang w:val="en-GB"/>
              </w:rPr>
              <w:t>Consulenze di fisioterapia</w:t>
            </w:r>
          </w:p>
        </w:tc>
        <w:tc>
          <w:tcPr>
            <w:tcW w:w="0" w:type="auto"/>
            <w:tcMar>
              <w:left w:w="57" w:type="dxa"/>
              <w:right w:w="57" w:type="dxa"/>
            </w:tcMar>
          </w:tcPr>
          <w:p w14:paraId="4AB5EE8C" w14:textId="77777777" w:rsidR="007C7C9C" w:rsidRPr="008B346E" w:rsidRDefault="007C7C9C" w:rsidP="00B74592">
            <w:pPr>
              <w:jc w:val="both"/>
              <w:rPr>
                <w:rFonts w:ascii="Poppins" w:hAnsi="Poppins" w:cs="Poppins"/>
                <w:lang w:val="en-GB"/>
              </w:rPr>
            </w:pPr>
            <w:r w:rsidRPr="008B346E">
              <w:rPr>
                <w:rFonts w:ascii="Poppins" w:hAnsi="Poppins" w:cs="Poppins"/>
                <w:lang w:val="en-GB"/>
              </w:rPr>
              <w:t>Consultazione di un fisioterapista o di chinesiterapia negli ultimi 12 mesi. Fonte: EHIS.</w:t>
            </w:r>
          </w:p>
        </w:tc>
      </w:tr>
      <w:tr w:rsidR="007C7C9C" w:rsidRPr="008B346E" w14:paraId="5350EFEF" w14:textId="77777777" w:rsidTr="00B74592">
        <w:tc>
          <w:tcPr>
            <w:tcW w:w="0" w:type="auto"/>
            <w:tcMar>
              <w:left w:w="57" w:type="dxa"/>
              <w:right w:w="57" w:type="dxa"/>
            </w:tcMar>
          </w:tcPr>
          <w:p w14:paraId="053000F5" w14:textId="77777777" w:rsidR="007C7C9C" w:rsidRPr="008B346E" w:rsidRDefault="007C7C9C" w:rsidP="00B74592">
            <w:pPr>
              <w:jc w:val="both"/>
              <w:rPr>
                <w:rFonts w:ascii="Poppins" w:hAnsi="Poppins" w:cs="Poppins"/>
                <w:lang w:val="en-GB"/>
              </w:rPr>
            </w:pPr>
            <w:r w:rsidRPr="008B346E">
              <w:rPr>
                <w:rFonts w:ascii="Poppins" w:hAnsi="Poppins" w:cs="Poppins"/>
                <w:lang w:val="en-GB"/>
              </w:rPr>
              <w:lastRenderedPageBreak/>
              <w:t>Consulenze sulla salute mentale</w:t>
            </w:r>
          </w:p>
        </w:tc>
        <w:tc>
          <w:tcPr>
            <w:tcW w:w="0" w:type="auto"/>
            <w:tcMar>
              <w:left w:w="57" w:type="dxa"/>
              <w:right w:w="57" w:type="dxa"/>
            </w:tcMar>
          </w:tcPr>
          <w:p w14:paraId="1DA1629D" w14:textId="77777777" w:rsidR="007C7C9C" w:rsidRPr="008B346E" w:rsidRDefault="007C7C9C" w:rsidP="00B74592">
            <w:pPr>
              <w:jc w:val="both"/>
              <w:rPr>
                <w:rFonts w:ascii="Poppins" w:hAnsi="Poppins" w:cs="Poppins"/>
                <w:lang w:val="en-GB"/>
              </w:rPr>
            </w:pPr>
            <w:r w:rsidRPr="008B346E">
              <w:rPr>
                <w:rFonts w:ascii="Poppins" w:hAnsi="Poppins" w:cs="Poppins"/>
                <w:lang w:val="en-GB"/>
              </w:rPr>
              <w:t>Consultazione di uno psicologo, psicoterapeuta o psichiatra negli ultimi 12 mesi. Fonte: EHIS.</w:t>
            </w:r>
          </w:p>
        </w:tc>
      </w:tr>
      <w:tr w:rsidR="007C7C9C" w:rsidRPr="008B346E" w14:paraId="1FDB6460" w14:textId="77777777" w:rsidTr="00B74592">
        <w:tc>
          <w:tcPr>
            <w:tcW w:w="0" w:type="auto"/>
            <w:tcMar>
              <w:left w:w="57" w:type="dxa"/>
              <w:right w:w="57" w:type="dxa"/>
            </w:tcMar>
          </w:tcPr>
          <w:p w14:paraId="631187ED" w14:textId="77777777" w:rsidR="007C7C9C" w:rsidRPr="008B346E" w:rsidRDefault="007C7C9C" w:rsidP="00B74592">
            <w:pPr>
              <w:jc w:val="both"/>
              <w:rPr>
                <w:rFonts w:ascii="Poppins" w:hAnsi="Poppins" w:cs="Poppins"/>
                <w:lang w:val="en-GB"/>
              </w:rPr>
            </w:pPr>
            <w:r w:rsidRPr="008B346E">
              <w:rPr>
                <w:rFonts w:ascii="Poppins" w:hAnsi="Poppins" w:cs="Poppins"/>
                <w:lang w:val="en-GB"/>
              </w:rPr>
              <w:t>Utilizzo dei servizi di assistenza domiciliare</w:t>
            </w:r>
          </w:p>
        </w:tc>
        <w:tc>
          <w:tcPr>
            <w:tcW w:w="0" w:type="auto"/>
            <w:tcMar>
              <w:left w:w="57" w:type="dxa"/>
              <w:right w:w="57" w:type="dxa"/>
            </w:tcMar>
          </w:tcPr>
          <w:p w14:paraId="329882B7" w14:textId="77777777" w:rsidR="007C7C9C" w:rsidRPr="008B346E" w:rsidRDefault="007C7C9C" w:rsidP="00B74592">
            <w:pPr>
              <w:jc w:val="both"/>
              <w:rPr>
                <w:rFonts w:ascii="Poppins" w:hAnsi="Poppins" w:cs="Poppins"/>
                <w:lang w:val="en-GB"/>
              </w:rPr>
            </w:pPr>
            <w:r w:rsidRPr="008B346E">
              <w:rPr>
                <w:rFonts w:ascii="Poppins" w:hAnsi="Poppins" w:cs="Poppins"/>
                <w:lang w:val="en-GB"/>
              </w:rPr>
              <w:t>Utilizzo di servizi di assistenza domiciliare per esigenze personali negli ultimi 12 mesi. Fonte: EHIS.</w:t>
            </w:r>
          </w:p>
        </w:tc>
      </w:tr>
      <w:tr w:rsidR="007C7C9C" w:rsidRPr="008B346E" w14:paraId="3F1BF192" w14:textId="77777777" w:rsidTr="00B74592">
        <w:tc>
          <w:tcPr>
            <w:tcW w:w="0" w:type="auto"/>
            <w:tcMar>
              <w:left w:w="57" w:type="dxa"/>
              <w:right w:w="57" w:type="dxa"/>
            </w:tcMar>
          </w:tcPr>
          <w:p w14:paraId="3EA66BB3" w14:textId="77777777" w:rsidR="007C7C9C" w:rsidRPr="008B346E" w:rsidRDefault="007C7C9C" w:rsidP="00B74592">
            <w:pPr>
              <w:jc w:val="both"/>
              <w:rPr>
                <w:rFonts w:ascii="Poppins" w:hAnsi="Poppins" w:cs="Poppins"/>
                <w:lang w:val="en-GB"/>
              </w:rPr>
            </w:pPr>
            <w:r w:rsidRPr="008B346E">
              <w:rPr>
                <w:rFonts w:ascii="Poppins" w:hAnsi="Poppins" w:cs="Poppins"/>
                <w:lang w:val="en-GB"/>
              </w:rPr>
              <w:t>Consulti con il medico di base o di famiglia</w:t>
            </w:r>
          </w:p>
        </w:tc>
        <w:tc>
          <w:tcPr>
            <w:tcW w:w="0" w:type="auto"/>
            <w:tcMar>
              <w:left w:w="57" w:type="dxa"/>
              <w:right w:w="57" w:type="dxa"/>
            </w:tcMar>
          </w:tcPr>
          <w:p w14:paraId="117E8E0B" w14:textId="77777777" w:rsidR="007C7C9C" w:rsidRPr="008B346E" w:rsidRDefault="007C7C9C" w:rsidP="00B74592">
            <w:pPr>
              <w:jc w:val="both"/>
              <w:rPr>
                <w:rFonts w:ascii="Poppins" w:hAnsi="Poppins" w:cs="Poppins"/>
                <w:lang w:val="en-GB"/>
              </w:rPr>
            </w:pPr>
            <w:r w:rsidRPr="008B346E">
              <w:rPr>
                <w:rFonts w:ascii="Poppins" w:hAnsi="Poppins" w:cs="Poppins"/>
                <w:lang w:val="en-GB"/>
              </w:rPr>
              <w:t>Percentuale della popolazione (anziana) che ha dichiarato di aver consultato un medico di base o di famiglia in un periodo recente specificato, classificata in base al numero di consultazioni. Fonte: EHIS.</w:t>
            </w:r>
          </w:p>
        </w:tc>
      </w:tr>
      <w:tr w:rsidR="007C7C9C" w:rsidRPr="008B346E" w14:paraId="20B40DD1" w14:textId="77777777" w:rsidTr="00B74592">
        <w:tc>
          <w:tcPr>
            <w:tcW w:w="0" w:type="auto"/>
            <w:tcMar>
              <w:left w:w="57" w:type="dxa"/>
              <w:right w:w="57" w:type="dxa"/>
            </w:tcMar>
          </w:tcPr>
          <w:p w14:paraId="2E0F4302" w14:textId="77777777" w:rsidR="007C7C9C" w:rsidRPr="008B346E" w:rsidRDefault="007C7C9C" w:rsidP="00B74592">
            <w:pPr>
              <w:jc w:val="both"/>
              <w:rPr>
                <w:rFonts w:ascii="Poppins" w:hAnsi="Poppins" w:cs="Poppins"/>
                <w:lang w:val="en-GB"/>
              </w:rPr>
            </w:pPr>
            <w:r w:rsidRPr="008B346E">
              <w:rPr>
                <w:rFonts w:ascii="Poppins" w:hAnsi="Poppins" w:cs="Poppins"/>
                <w:lang w:val="en-GB"/>
              </w:rPr>
              <w:t>Uso della medicina</w:t>
            </w:r>
          </w:p>
        </w:tc>
        <w:tc>
          <w:tcPr>
            <w:tcW w:w="0" w:type="auto"/>
            <w:tcMar>
              <w:left w:w="57" w:type="dxa"/>
              <w:right w:w="57" w:type="dxa"/>
            </w:tcMar>
          </w:tcPr>
          <w:p w14:paraId="1A8A7CD2" w14:textId="77777777" w:rsidR="007C7C9C" w:rsidRPr="008B346E" w:rsidRDefault="007C7C9C" w:rsidP="00B74592">
            <w:pPr>
              <w:jc w:val="both"/>
              <w:rPr>
                <w:rFonts w:ascii="Poppins" w:hAnsi="Poppins" w:cs="Poppins"/>
                <w:lang w:val="en-GB"/>
              </w:rPr>
            </w:pPr>
            <w:r w:rsidRPr="008B346E">
              <w:rPr>
                <w:rFonts w:ascii="Poppins" w:hAnsi="Poppins" w:cs="Poppins"/>
                <w:lang w:val="en-GB"/>
              </w:rPr>
              <w:t>Uso di medicinali prescritti da un medico o uso di medicinali, erbe medicinali o vitamine non prescritti durante</w:t>
            </w:r>
          </w:p>
          <w:p w14:paraId="4DE336A4" w14:textId="77777777" w:rsidR="007C7C9C" w:rsidRPr="008B346E" w:rsidRDefault="007C7C9C" w:rsidP="00B74592">
            <w:pPr>
              <w:jc w:val="both"/>
              <w:rPr>
                <w:rFonts w:ascii="Poppins" w:hAnsi="Poppins" w:cs="Poppins"/>
                <w:lang w:val="en-GB"/>
              </w:rPr>
            </w:pPr>
            <w:r w:rsidRPr="008B346E">
              <w:rPr>
                <w:rFonts w:ascii="Poppins" w:hAnsi="Poppins" w:cs="Poppins"/>
                <w:lang w:val="en-GB"/>
              </w:rPr>
              <w:t>nelle ultime due settimane. Fonte: EHIS.</w:t>
            </w:r>
          </w:p>
        </w:tc>
      </w:tr>
      <w:tr w:rsidR="007C7C9C" w:rsidRPr="008B346E" w14:paraId="7958132D" w14:textId="77777777" w:rsidTr="00B74592">
        <w:tc>
          <w:tcPr>
            <w:tcW w:w="0" w:type="auto"/>
            <w:tcMar>
              <w:left w:w="57" w:type="dxa"/>
              <w:right w:w="57" w:type="dxa"/>
            </w:tcMar>
          </w:tcPr>
          <w:p w14:paraId="3682D568" w14:textId="77777777" w:rsidR="007C7C9C" w:rsidRPr="008B346E" w:rsidRDefault="007C7C9C" w:rsidP="00B74592">
            <w:pPr>
              <w:jc w:val="both"/>
              <w:rPr>
                <w:rFonts w:ascii="Poppins" w:hAnsi="Poppins" w:cs="Poppins"/>
                <w:lang w:val="en-GB"/>
              </w:rPr>
            </w:pPr>
            <w:r w:rsidRPr="008B346E">
              <w:rPr>
                <w:rFonts w:ascii="Poppins" w:hAnsi="Poppins" w:cs="Poppins"/>
                <w:lang w:val="en-GB"/>
              </w:rPr>
              <w:t>Utilizzo dei servizi preventivi</w:t>
            </w:r>
          </w:p>
        </w:tc>
        <w:tc>
          <w:tcPr>
            <w:tcW w:w="0" w:type="auto"/>
            <w:tcMar>
              <w:left w:w="57" w:type="dxa"/>
              <w:right w:w="57" w:type="dxa"/>
            </w:tcMar>
          </w:tcPr>
          <w:p w14:paraId="5441BF63" w14:textId="77777777" w:rsidR="007C7C9C" w:rsidRPr="008B346E" w:rsidRDefault="007C7C9C" w:rsidP="00B74592">
            <w:pPr>
              <w:jc w:val="both"/>
              <w:rPr>
                <w:rFonts w:ascii="Poppins" w:hAnsi="Poppins" w:cs="Poppins"/>
                <w:lang w:val="en-GB"/>
              </w:rPr>
            </w:pPr>
            <w:r w:rsidRPr="008B346E">
              <w:rPr>
                <w:rFonts w:ascii="Poppins" w:hAnsi="Poppins" w:cs="Poppins"/>
                <w:lang w:val="en-GB"/>
              </w:rPr>
              <w:t>Fonte: EHIS.</w:t>
            </w:r>
          </w:p>
        </w:tc>
      </w:tr>
      <w:tr w:rsidR="007C7C9C" w:rsidRPr="008B346E" w14:paraId="3BE0FA82" w14:textId="77777777" w:rsidTr="00B74592">
        <w:tc>
          <w:tcPr>
            <w:tcW w:w="0" w:type="auto"/>
            <w:tcMar>
              <w:left w:w="57" w:type="dxa"/>
              <w:right w:w="57" w:type="dxa"/>
            </w:tcMar>
          </w:tcPr>
          <w:p w14:paraId="42E499DC" w14:textId="77777777" w:rsidR="007C7C9C" w:rsidRPr="008B346E" w:rsidRDefault="007C7C9C" w:rsidP="00B74592">
            <w:pPr>
              <w:jc w:val="both"/>
              <w:rPr>
                <w:rFonts w:ascii="Poppins" w:hAnsi="Poppins" w:cs="Poppins"/>
                <w:lang w:val="en-GB"/>
              </w:rPr>
            </w:pPr>
            <w:r w:rsidRPr="008B346E">
              <w:rPr>
                <w:rFonts w:ascii="Poppins" w:hAnsi="Poppins" w:cs="Poppins"/>
                <w:lang w:val="en-GB"/>
              </w:rPr>
              <w:t>Ricovero ospedaliero</w:t>
            </w:r>
          </w:p>
        </w:tc>
        <w:tc>
          <w:tcPr>
            <w:tcW w:w="0" w:type="auto"/>
            <w:tcMar>
              <w:left w:w="57" w:type="dxa"/>
              <w:right w:w="57" w:type="dxa"/>
            </w:tcMar>
          </w:tcPr>
          <w:p w14:paraId="56EF7825" w14:textId="77777777" w:rsidR="007C7C9C" w:rsidRPr="008B346E" w:rsidRDefault="007C7C9C" w:rsidP="00B74592">
            <w:pPr>
              <w:jc w:val="both"/>
              <w:rPr>
                <w:rFonts w:ascii="Poppins" w:hAnsi="Poppins" w:cs="Poppins"/>
                <w:lang w:val="en-GB"/>
              </w:rPr>
            </w:pPr>
            <w:r w:rsidRPr="008B346E">
              <w:rPr>
                <w:rFonts w:ascii="Poppins" w:hAnsi="Poppins" w:cs="Poppins"/>
                <w:lang w:val="en-GB"/>
              </w:rPr>
              <w:t>Persone con almeno un ricovero ospedaliero nei 3 mesi precedenti l'intervista per classe di età. Istat -ADL.</w:t>
            </w:r>
          </w:p>
        </w:tc>
      </w:tr>
      <w:tr w:rsidR="007C7C9C" w:rsidRPr="008B346E" w14:paraId="65044473" w14:textId="77777777" w:rsidTr="00B74592">
        <w:tc>
          <w:tcPr>
            <w:tcW w:w="0" w:type="auto"/>
            <w:gridSpan w:val="2"/>
            <w:tcMar>
              <w:left w:w="57" w:type="dxa"/>
              <w:right w:w="57" w:type="dxa"/>
            </w:tcMar>
          </w:tcPr>
          <w:p w14:paraId="40F7299D" w14:textId="77777777" w:rsidR="007C7C9C" w:rsidRPr="008B346E" w:rsidRDefault="007C7C9C" w:rsidP="00B74592">
            <w:pPr>
              <w:jc w:val="both"/>
              <w:rPr>
                <w:rFonts w:ascii="Poppins" w:hAnsi="Poppins" w:cs="Poppins"/>
                <w:b/>
                <w:bCs/>
                <w:lang w:val="en-GB"/>
              </w:rPr>
            </w:pPr>
            <w:r w:rsidRPr="008B346E">
              <w:rPr>
                <w:rFonts w:ascii="Poppins" w:hAnsi="Poppins" w:cs="Poppins"/>
                <w:b/>
                <w:bCs/>
                <w:lang w:val="en-GB"/>
              </w:rPr>
              <w:t xml:space="preserve">Indicatori microeconomici: </w:t>
            </w:r>
            <w:r w:rsidRPr="008B346E">
              <w:rPr>
                <w:rFonts w:ascii="Poppins" w:hAnsi="Poppins" w:cs="Poppins"/>
                <w:b/>
                <w:bCs/>
                <w:i/>
                <w:iCs/>
                <w:lang w:val="en-GB"/>
              </w:rPr>
              <w:t>barriere all'accesso all'assistenza sanitaria</w:t>
            </w:r>
          </w:p>
        </w:tc>
      </w:tr>
      <w:tr w:rsidR="007C7C9C" w:rsidRPr="008B346E" w14:paraId="7ECFA545" w14:textId="77777777" w:rsidTr="00B74592">
        <w:tc>
          <w:tcPr>
            <w:tcW w:w="0" w:type="auto"/>
            <w:tcMar>
              <w:left w:w="57" w:type="dxa"/>
              <w:right w:w="57" w:type="dxa"/>
            </w:tcMar>
          </w:tcPr>
          <w:p w14:paraId="6FC2D680" w14:textId="77777777" w:rsidR="007C7C9C" w:rsidRPr="008B346E" w:rsidRDefault="007C7C9C" w:rsidP="00B74592">
            <w:pPr>
              <w:jc w:val="both"/>
              <w:rPr>
                <w:rFonts w:ascii="Poppins" w:hAnsi="Poppins" w:cs="Poppins"/>
                <w:lang w:val="en-GB"/>
              </w:rPr>
            </w:pPr>
            <w:r w:rsidRPr="008B346E">
              <w:rPr>
                <w:rFonts w:ascii="Poppins" w:hAnsi="Poppins" w:cs="Poppins"/>
                <w:lang w:val="en-GB"/>
              </w:rPr>
              <w:t>Bisogni insoddisfatti: liste d'attesa</w:t>
            </w:r>
          </w:p>
        </w:tc>
        <w:tc>
          <w:tcPr>
            <w:tcW w:w="0" w:type="auto"/>
            <w:tcMar>
              <w:left w:w="57" w:type="dxa"/>
              <w:right w:w="57" w:type="dxa"/>
            </w:tcMar>
          </w:tcPr>
          <w:p w14:paraId="20ABEDD4" w14:textId="77777777" w:rsidR="007C7C9C" w:rsidRPr="008B346E" w:rsidRDefault="007C7C9C" w:rsidP="00B74592">
            <w:pPr>
              <w:jc w:val="both"/>
              <w:rPr>
                <w:rFonts w:ascii="Poppins" w:hAnsi="Poppins" w:cs="Poppins"/>
                <w:lang w:val="en-GB"/>
              </w:rPr>
            </w:pPr>
            <w:r w:rsidRPr="008B346E">
              <w:rPr>
                <w:rFonts w:ascii="Poppins" w:hAnsi="Poppins" w:cs="Poppins"/>
                <w:lang w:val="en-GB"/>
              </w:rPr>
              <w:t>Percentuale di adulti (anziani) che hanno segnalato un bisogno insoddisfatto di assistenza sanitaria negli ultimi 12 mesi a causa delle lunghe liste d'attesa. Fonte: EHIS.</w:t>
            </w:r>
          </w:p>
        </w:tc>
      </w:tr>
      <w:tr w:rsidR="007C7C9C" w:rsidRPr="008B346E" w14:paraId="3377F869" w14:textId="77777777" w:rsidTr="00B74592">
        <w:tc>
          <w:tcPr>
            <w:tcW w:w="0" w:type="auto"/>
            <w:tcMar>
              <w:left w:w="57" w:type="dxa"/>
              <w:right w:w="57" w:type="dxa"/>
            </w:tcMar>
          </w:tcPr>
          <w:p w14:paraId="7F043E4D" w14:textId="77777777" w:rsidR="007C7C9C" w:rsidRPr="008B346E" w:rsidRDefault="007C7C9C" w:rsidP="00B74592">
            <w:pPr>
              <w:jc w:val="both"/>
              <w:rPr>
                <w:rFonts w:ascii="Poppins" w:hAnsi="Poppins" w:cs="Poppins"/>
                <w:lang w:val="en-GB"/>
              </w:rPr>
            </w:pPr>
            <w:r w:rsidRPr="008B346E">
              <w:rPr>
                <w:rFonts w:ascii="Poppins" w:hAnsi="Poppins" w:cs="Poppins"/>
                <w:lang w:val="en-GB"/>
              </w:rPr>
              <w:t>Bisogni insoddisfatti: distanza/trasporto</w:t>
            </w:r>
          </w:p>
        </w:tc>
        <w:tc>
          <w:tcPr>
            <w:tcW w:w="0" w:type="auto"/>
            <w:tcMar>
              <w:left w:w="57" w:type="dxa"/>
              <w:right w:w="57" w:type="dxa"/>
            </w:tcMar>
          </w:tcPr>
          <w:p w14:paraId="60D70216" w14:textId="77777777" w:rsidR="007C7C9C" w:rsidRPr="008B346E" w:rsidRDefault="007C7C9C" w:rsidP="00B74592">
            <w:pPr>
              <w:jc w:val="both"/>
              <w:rPr>
                <w:rFonts w:ascii="Poppins" w:hAnsi="Poppins" w:cs="Poppins"/>
                <w:lang w:val="en-GB"/>
              </w:rPr>
            </w:pPr>
            <w:r w:rsidRPr="008B346E">
              <w:rPr>
                <w:rFonts w:ascii="Poppins" w:hAnsi="Poppins" w:cs="Poppins"/>
                <w:lang w:val="en-GB"/>
              </w:rPr>
              <w:t>Percentuale di adulti (anziani) che hanno segnalato un bisogno insoddisfatto di assistenza sanitaria negli ultimi 12 mesi a causa della distanza o di problemi di trasporto.</w:t>
            </w:r>
          </w:p>
        </w:tc>
      </w:tr>
      <w:tr w:rsidR="007C7C9C" w:rsidRPr="008B346E" w14:paraId="30B8C545" w14:textId="77777777" w:rsidTr="00B74592">
        <w:tc>
          <w:tcPr>
            <w:tcW w:w="0" w:type="auto"/>
            <w:tcMar>
              <w:left w:w="57" w:type="dxa"/>
              <w:right w:w="57" w:type="dxa"/>
            </w:tcMar>
          </w:tcPr>
          <w:p w14:paraId="1C8195A2" w14:textId="77777777" w:rsidR="007C7C9C" w:rsidRPr="008B346E" w:rsidRDefault="007C7C9C" w:rsidP="00B74592">
            <w:pPr>
              <w:jc w:val="both"/>
              <w:rPr>
                <w:rFonts w:ascii="Poppins" w:hAnsi="Poppins" w:cs="Poppins"/>
                <w:lang w:val="en-GB"/>
              </w:rPr>
            </w:pPr>
            <w:r w:rsidRPr="008B346E">
              <w:rPr>
                <w:rFonts w:ascii="Poppins" w:hAnsi="Poppins" w:cs="Poppins"/>
                <w:lang w:val="en-GB"/>
              </w:rPr>
              <w:t>Visita medica non accessibile</w:t>
            </w:r>
          </w:p>
        </w:tc>
        <w:tc>
          <w:tcPr>
            <w:tcW w:w="0" w:type="auto"/>
            <w:tcMar>
              <w:left w:w="57" w:type="dxa"/>
              <w:right w:w="57" w:type="dxa"/>
            </w:tcMar>
          </w:tcPr>
          <w:p w14:paraId="32563840" w14:textId="77777777" w:rsidR="007C7C9C" w:rsidRPr="008B346E" w:rsidRDefault="007C7C9C" w:rsidP="00B74592">
            <w:pPr>
              <w:jc w:val="both"/>
              <w:rPr>
                <w:rFonts w:ascii="Poppins" w:hAnsi="Poppins" w:cs="Poppins"/>
                <w:lang w:val="en-GB"/>
              </w:rPr>
            </w:pPr>
            <w:r w:rsidRPr="008B346E">
              <w:rPr>
                <w:rFonts w:ascii="Poppins" w:hAnsi="Poppins" w:cs="Poppins"/>
                <w:lang w:val="en-GB"/>
              </w:rPr>
              <w:t>Percentuale di adulti (anziani) che hanno dichiarato di non essere in grado di permettersi visite o trattamenti medici negli ultimi 12 mesi. Fonte: EHIS; EU-SILC; INIH-SS.</w:t>
            </w:r>
          </w:p>
        </w:tc>
      </w:tr>
      <w:tr w:rsidR="007C7C9C" w:rsidRPr="008B346E" w14:paraId="50A426B5" w14:textId="77777777" w:rsidTr="00B74592">
        <w:tc>
          <w:tcPr>
            <w:tcW w:w="0" w:type="auto"/>
            <w:tcMar>
              <w:left w:w="57" w:type="dxa"/>
              <w:right w:w="57" w:type="dxa"/>
            </w:tcMar>
          </w:tcPr>
          <w:p w14:paraId="3B74AFA0" w14:textId="77777777" w:rsidR="007C7C9C" w:rsidRPr="008B346E" w:rsidRDefault="007C7C9C" w:rsidP="00B74592">
            <w:pPr>
              <w:jc w:val="both"/>
              <w:rPr>
                <w:rFonts w:ascii="Poppins" w:hAnsi="Poppins" w:cs="Poppins"/>
                <w:lang w:val="en-GB"/>
              </w:rPr>
            </w:pPr>
            <w:r w:rsidRPr="008B346E">
              <w:rPr>
                <w:rFonts w:ascii="Poppins" w:hAnsi="Poppins" w:cs="Poppins"/>
                <w:lang w:val="en-GB"/>
              </w:rPr>
              <w:t>Cure dentistiche inaccessibili</w:t>
            </w:r>
          </w:p>
        </w:tc>
        <w:tc>
          <w:tcPr>
            <w:tcW w:w="0" w:type="auto"/>
            <w:tcMar>
              <w:left w:w="57" w:type="dxa"/>
              <w:right w:w="57" w:type="dxa"/>
            </w:tcMar>
          </w:tcPr>
          <w:p w14:paraId="06825283" w14:textId="77777777" w:rsidR="007C7C9C" w:rsidRPr="008B346E" w:rsidRDefault="007C7C9C" w:rsidP="00B74592">
            <w:pPr>
              <w:jc w:val="both"/>
              <w:rPr>
                <w:rFonts w:ascii="Poppins" w:hAnsi="Poppins" w:cs="Poppins"/>
                <w:lang w:val="en-GB"/>
              </w:rPr>
            </w:pPr>
            <w:r w:rsidRPr="008B346E">
              <w:rPr>
                <w:rFonts w:ascii="Poppins" w:hAnsi="Poppins" w:cs="Poppins"/>
                <w:lang w:val="en-GB"/>
              </w:rPr>
              <w:t>Percentuale di adulti (anziani) che hanno dichiarato di non essere in grado di permettersi visite o trattamenti odontoiatrici negli ultimi 12 mesi. Fonte: EHIS; INIH-SS.</w:t>
            </w:r>
          </w:p>
        </w:tc>
      </w:tr>
      <w:tr w:rsidR="007C7C9C" w:rsidRPr="008B346E" w14:paraId="5912139D" w14:textId="77777777" w:rsidTr="00B74592">
        <w:tc>
          <w:tcPr>
            <w:tcW w:w="0" w:type="auto"/>
            <w:tcMar>
              <w:left w:w="57" w:type="dxa"/>
              <w:right w:w="57" w:type="dxa"/>
            </w:tcMar>
          </w:tcPr>
          <w:p w14:paraId="446DD3A8" w14:textId="77777777" w:rsidR="007C7C9C" w:rsidRPr="008B346E" w:rsidRDefault="007C7C9C" w:rsidP="00B74592">
            <w:pPr>
              <w:jc w:val="both"/>
              <w:rPr>
                <w:rFonts w:ascii="Poppins" w:hAnsi="Poppins" w:cs="Poppins"/>
                <w:lang w:val="en-GB"/>
              </w:rPr>
            </w:pPr>
            <w:r w:rsidRPr="008B346E">
              <w:rPr>
                <w:rFonts w:ascii="Poppins" w:hAnsi="Poppins" w:cs="Poppins"/>
                <w:lang w:val="en-GB"/>
              </w:rPr>
              <w:t>Farmaci prescritti a prezzi inaccessibili</w:t>
            </w:r>
          </w:p>
        </w:tc>
        <w:tc>
          <w:tcPr>
            <w:tcW w:w="0" w:type="auto"/>
            <w:tcMar>
              <w:left w:w="57" w:type="dxa"/>
              <w:right w:w="57" w:type="dxa"/>
            </w:tcMar>
          </w:tcPr>
          <w:p w14:paraId="445DAF12" w14:textId="77777777" w:rsidR="007C7C9C" w:rsidRPr="008B346E" w:rsidRDefault="007C7C9C" w:rsidP="00B74592">
            <w:pPr>
              <w:jc w:val="both"/>
              <w:rPr>
                <w:rFonts w:ascii="Poppins" w:hAnsi="Poppins" w:cs="Poppins"/>
                <w:lang w:val="en-GB"/>
              </w:rPr>
            </w:pPr>
            <w:r w:rsidRPr="008B346E">
              <w:rPr>
                <w:rFonts w:ascii="Poppins" w:hAnsi="Poppins" w:cs="Poppins"/>
                <w:lang w:val="en-GB"/>
              </w:rPr>
              <w:t>Percentuale di adulti (anziani) che hanno dichiarato di non essere in grado di permettersi i farmaci prescritti negli ultimi 12 mesi. Fonte: EHIS; INIH-SS.</w:t>
            </w:r>
          </w:p>
        </w:tc>
      </w:tr>
      <w:tr w:rsidR="007C7C9C" w:rsidRPr="008B346E" w14:paraId="1F3170AA" w14:textId="77777777" w:rsidTr="00B74592">
        <w:tc>
          <w:tcPr>
            <w:tcW w:w="0" w:type="auto"/>
            <w:tcMar>
              <w:left w:w="57" w:type="dxa"/>
              <w:right w:w="57" w:type="dxa"/>
            </w:tcMar>
          </w:tcPr>
          <w:p w14:paraId="25875237" w14:textId="77777777" w:rsidR="007C7C9C" w:rsidRPr="008B346E" w:rsidRDefault="007C7C9C" w:rsidP="00B74592">
            <w:pPr>
              <w:jc w:val="both"/>
              <w:rPr>
                <w:rFonts w:ascii="Poppins" w:hAnsi="Poppins" w:cs="Poppins"/>
                <w:lang w:val="en-GB"/>
              </w:rPr>
            </w:pPr>
            <w:r w:rsidRPr="008B346E">
              <w:rPr>
                <w:rFonts w:ascii="Poppins" w:hAnsi="Poppins" w:cs="Poppins"/>
                <w:lang w:val="en-GB"/>
              </w:rPr>
              <w:t>Assistenza sanitaria mentale inaccessibile</w:t>
            </w:r>
          </w:p>
        </w:tc>
        <w:tc>
          <w:tcPr>
            <w:tcW w:w="0" w:type="auto"/>
            <w:tcMar>
              <w:left w:w="57" w:type="dxa"/>
              <w:right w:w="57" w:type="dxa"/>
            </w:tcMar>
          </w:tcPr>
          <w:p w14:paraId="5369DC33" w14:textId="77777777" w:rsidR="007C7C9C" w:rsidRPr="008B346E" w:rsidRDefault="007C7C9C" w:rsidP="00B74592">
            <w:pPr>
              <w:jc w:val="both"/>
              <w:rPr>
                <w:rFonts w:ascii="Poppins" w:hAnsi="Poppins" w:cs="Poppins"/>
                <w:lang w:val="en-GB"/>
              </w:rPr>
            </w:pPr>
            <w:r w:rsidRPr="008B346E">
              <w:rPr>
                <w:rFonts w:ascii="Poppins" w:hAnsi="Poppins" w:cs="Poppins"/>
                <w:lang w:val="en-GB"/>
              </w:rPr>
              <w:t xml:space="preserve">Percentuale di adulti (anziani) che hanno dichiarato di non essere in grado di permettersi l'assistenza sanitaria mentale </w:t>
            </w:r>
            <w:r w:rsidRPr="008B346E">
              <w:rPr>
                <w:rFonts w:ascii="Poppins" w:hAnsi="Poppins" w:cs="Poppins"/>
                <w:lang w:val="en-GB"/>
              </w:rPr>
              <w:lastRenderedPageBreak/>
              <w:t>(ad esempio da uno psicologo, uno psicoterapeuta o uno psichiatra) negli ultimi 12 mesi. Fonte: EHIS; INIH-SS.</w:t>
            </w:r>
          </w:p>
        </w:tc>
      </w:tr>
      <w:tr w:rsidR="007C7C9C" w:rsidRPr="008B346E" w14:paraId="35C21078" w14:textId="77777777" w:rsidTr="00B74592">
        <w:tc>
          <w:tcPr>
            <w:tcW w:w="0" w:type="auto"/>
            <w:tcMar>
              <w:left w:w="57" w:type="dxa"/>
              <w:right w:w="57" w:type="dxa"/>
            </w:tcMar>
          </w:tcPr>
          <w:p w14:paraId="46BBDEF5" w14:textId="77777777" w:rsidR="007C7C9C" w:rsidRPr="008B346E" w:rsidRDefault="007C7C9C" w:rsidP="00B74592">
            <w:pPr>
              <w:jc w:val="both"/>
              <w:rPr>
                <w:rFonts w:ascii="Poppins" w:hAnsi="Poppins" w:cs="Poppins"/>
                <w:lang w:val="en-GB"/>
              </w:rPr>
            </w:pPr>
            <w:r w:rsidRPr="008B346E">
              <w:rPr>
                <w:rFonts w:ascii="Poppins" w:hAnsi="Poppins" w:cs="Poppins"/>
                <w:lang w:val="en-GB"/>
              </w:rPr>
              <w:lastRenderedPageBreak/>
              <w:t>Accessibilità ai servizi sanitari</w:t>
            </w:r>
          </w:p>
        </w:tc>
        <w:tc>
          <w:tcPr>
            <w:tcW w:w="0" w:type="auto"/>
            <w:tcMar>
              <w:left w:w="57" w:type="dxa"/>
              <w:right w:w="57" w:type="dxa"/>
            </w:tcMar>
          </w:tcPr>
          <w:p w14:paraId="3065357F" w14:textId="77777777" w:rsidR="007C7C9C" w:rsidRPr="008B346E" w:rsidRDefault="007C7C9C" w:rsidP="00B74592">
            <w:pPr>
              <w:jc w:val="both"/>
              <w:rPr>
                <w:rFonts w:ascii="Poppins" w:hAnsi="Poppins" w:cs="Poppins"/>
                <w:lang w:val="en-GB"/>
              </w:rPr>
            </w:pPr>
            <w:r w:rsidRPr="008B346E">
              <w:rPr>
                <w:rFonts w:ascii="Poppins" w:hAnsi="Poppins" w:cs="Poppins"/>
                <w:lang w:val="en-GB"/>
              </w:rPr>
              <w:t>Persone di età pari o superiore a 65 anni che dichiarano di avere difficoltà significative o di qualche difficoltà nel raggiungere i servizi sanitari (ASL, medico di base). Fonte: INIH-SS.</w:t>
            </w:r>
          </w:p>
        </w:tc>
      </w:tr>
      <w:tr w:rsidR="007C7C9C" w:rsidRPr="008B346E" w14:paraId="6BB7D88C" w14:textId="77777777" w:rsidTr="00B74592">
        <w:tc>
          <w:tcPr>
            <w:tcW w:w="0" w:type="auto"/>
            <w:tcMar>
              <w:left w:w="57" w:type="dxa"/>
              <w:right w:w="57" w:type="dxa"/>
            </w:tcMar>
          </w:tcPr>
          <w:p w14:paraId="70FEA26F" w14:textId="77777777" w:rsidR="007C7C9C" w:rsidRPr="008B346E" w:rsidRDefault="007C7C9C" w:rsidP="00B74592">
            <w:pPr>
              <w:jc w:val="both"/>
              <w:rPr>
                <w:rFonts w:ascii="Poppins" w:hAnsi="Poppins" w:cs="Poppins"/>
                <w:lang w:val="en-GB"/>
              </w:rPr>
            </w:pPr>
            <w:r w:rsidRPr="008B346E">
              <w:rPr>
                <w:rFonts w:ascii="Poppins" w:hAnsi="Poppins" w:cs="Poppins"/>
                <w:lang w:val="en-GB"/>
              </w:rPr>
              <w:t>In attesa presso i servizi sanitari</w:t>
            </w:r>
          </w:p>
        </w:tc>
        <w:tc>
          <w:tcPr>
            <w:tcW w:w="0" w:type="auto"/>
            <w:tcMar>
              <w:left w:w="57" w:type="dxa"/>
              <w:right w:w="57" w:type="dxa"/>
            </w:tcMar>
          </w:tcPr>
          <w:p w14:paraId="73AA6A2B" w14:textId="77777777" w:rsidR="007C7C9C" w:rsidRPr="008B346E" w:rsidRDefault="007C7C9C" w:rsidP="00B74592">
            <w:pPr>
              <w:jc w:val="both"/>
              <w:rPr>
                <w:rFonts w:ascii="Poppins" w:hAnsi="Poppins" w:cs="Poppins"/>
                <w:lang w:val="en-GB"/>
              </w:rPr>
            </w:pPr>
            <w:r w:rsidRPr="008B346E">
              <w:rPr>
                <w:rFonts w:ascii="Poppins" w:hAnsi="Poppins" w:cs="Poppins"/>
                <w:lang w:val="en-GB"/>
              </w:rPr>
              <w:t>Quota di adulti (anziani) che si sono recati presso l'azienda sanitaria locale (ASL) con un tempo di attesa allo sportello superiore a 20 minuti. Fonte: Istat -ADL.</w:t>
            </w:r>
          </w:p>
        </w:tc>
      </w:tr>
      <w:tr w:rsidR="007C7C9C" w:rsidRPr="008B346E" w14:paraId="75971448" w14:textId="77777777" w:rsidTr="00B74592">
        <w:tc>
          <w:tcPr>
            <w:tcW w:w="0" w:type="auto"/>
            <w:gridSpan w:val="2"/>
            <w:tcMar>
              <w:left w:w="57" w:type="dxa"/>
              <w:right w:w="57" w:type="dxa"/>
            </w:tcMar>
          </w:tcPr>
          <w:p w14:paraId="06FB667A" w14:textId="77777777" w:rsidR="007C7C9C" w:rsidRPr="008B346E" w:rsidRDefault="007C7C9C" w:rsidP="00B74592">
            <w:pPr>
              <w:jc w:val="both"/>
              <w:rPr>
                <w:rFonts w:ascii="Poppins" w:hAnsi="Poppins" w:cs="Poppins"/>
                <w:lang w:val="en-GB"/>
              </w:rPr>
            </w:pPr>
            <w:r w:rsidRPr="008B346E">
              <w:rPr>
                <w:rFonts w:ascii="Poppins" w:hAnsi="Poppins" w:cs="Poppins"/>
                <w:b/>
                <w:bCs/>
                <w:lang w:val="en-GB"/>
              </w:rPr>
              <w:t xml:space="preserve">Indicatori macroeconomici: </w:t>
            </w:r>
            <w:r w:rsidRPr="008B346E">
              <w:rPr>
                <w:rFonts w:ascii="Poppins" w:hAnsi="Poppins" w:cs="Poppins"/>
                <w:b/>
                <w:bCs/>
                <w:i/>
                <w:iCs/>
                <w:lang w:val="en-GB"/>
              </w:rPr>
              <w:t xml:space="preserve">spesa sanitaria </w:t>
            </w:r>
            <w:r w:rsidRPr="008B346E">
              <w:rPr>
                <w:rFonts w:ascii="Poppins" w:hAnsi="Poppins" w:cs="Poppins"/>
                <w:i/>
                <w:iCs/>
                <w:lang w:val="en-GB"/>
              </w:rPr>
              <w:t>per regione, tipo di finanziamento, fornitori e funzioni di assistenza (assistenza preventiva, assistenza curativa a lungo termine e assistenza riabilitativa, beni medici, governance e sistema sanitario e amministrazione dei finanziamenti e servizi ausiliari)</w:t>
            </w:r>
          </w:p>
        </w:tc>
      </w:tr>
      <w:tr w:rsidR="007C7C9C" w:rsidRPr="008B346E" w14:paraId="12AD68B7" w14:textId="77777777" w:rsidTr="00B74592">
        <w:tc>
          <w:tcPr>
            <w:tcW w:w="0" w:type="auto"/>
            <w:tcMar>
              <w:left w:w="57" w:type="dxa"/>
              <w:right w:w="57" w:type="dxa"/>
            </w:tcMar>
          </w:tcPr>
          <w:p w14:paraId="3FF216AD" w14:textId="77777777" w:rsidR="007C7C9C" w:rsidRPr="008B346E" w:rsidRDefault="007C7C9C" w:rsidP="00B74592">
            <w:pPr>
              <w:jc w:val="both"/>
              <w:rPr>
                <w:rFonts w:ascii="Poppins" w:hAnsi="Poppins" w:cs="Poppins"/>
                <w:lang w:val="en-GB"/>
              </w:rPr>
            </w:pPr>
            <w:r w:rsidRPr="008B346E">
              <w:rPr>
                <w:rFonts w:ascii="Poppins" w:hAnsi="Poppins" w:cs="Poppins"/>
                <w:lang w:val="en-GB"/>
              </w:rPr>
              <w:t>Spesa sanitaria attuale pro capite</w:t>
            </w:r>
          </w:p>
        </w:tc>
        <w:tc>
          <w:tcPr>
            <w:tcW w:w="0" w:type="auto"/>
            <w:tcMar>
              <w:left w:w="57" w:type="dxa"/>
              <w:right w:w="57" w:type="dxa"/>
            </w:tcMar>
          </w:tcPr>
          <w:p w14:paraId="455CC2E3" w14:textId="77777777" w:rsidR="007C7C9C" w:rsidRPr="008B346E" w:rsidRDefault="007C7C9C" w:rsidP="00B74592">
            <w:pPr>
              <w:jc w:val="both"/>
              <w:rPr>
                <w:rFonts w:ascii="Poppins" w:hAnsi="Poppins" w:cs="Poppins"/>
                <w:lang w:val="en-GB"/>
              </w:rPr>
            </w:pPr>
            <w:r w:rsidRPr="008B346E">
              <w:rPr>
                <w:rFonts w:ascii="Poppins" w:hAnsi="Poppins" w:cs="Poppins"/>
                <w:lang w:val="en-GB"/>
              </w:rPr>
              <w:t>Fonte: Istat -SHA.</w:t>
            </w:r>
          </w:p>
        </w:tc>
      </w:tr>
      <w:tr w:rsidR="007C7C9C" w:rsidRPr="008B346E" w14:paraId="631F8187" w14:textId="77777777" w:rsidTr="00B74592">
        <w:tc>
          <w:tcPr>
            <w:tcW w:w="0" w:type="auto"/>
            <w:tcMar>
              <w:left w:w="57" w:type="dxa"/>
              <w:right w:w="57" w:type="dxa"/>
            </w:tcMar>
          </w:tcPr>
          <w:p w14:paraId="2196FDB0" w14:textId="77777777" w:rsidR="007C7C9C" w:rsidRPr="008B346E" w:rsidRDefault="007C7C9C" w:rsidP="00B74592">
            <w:pPr>
              <w:jc w:val="both"/>
              <w:rPr>
                <w:rFonts w:ascii="Poppins" w:hAnsi="Poppins" w:cs="Poppins"/>
                <w:lang w:val="en-GB"/>
              </w:rPr>
            </w:pPr>
            <w:r w:rsidRPr="008B346E">
              <w:rPr>
                <w:rFonts w:ascii="Poppins" w:hAnsi="Poppins" w:cs="Poppins"/>
                <w:lang w:val="en-GB"/>
              </w:rPr>
              <w:t>Spesa sanitaria pubblica pro capite</w:t>
            </w:r>
          </w:p>
        </w:tc>
        <w:tc>
          <w:tcPr>
            <w:tcW w:w="0" w:type="auto"/>
            <w:tcMar>
              <w:left w:w="57" w:type="dxa"/>
              <w:right w:w="57" w:type="dxa"/>
            </w:tcMar>
          </w:tcPr>
          <w:p w14:paraId="388F0E2C" w14:textId="77777777" w:rsidR="007C7C9C" w:rsidRPr="008B346E" w:rsidRDefault="007C7C9C" w:rsidP="00B74592">
            <w:pPr>
              <w:jc w:val="both"/>
              <w:rPr>
                <w:rFonts w:ascii="Poppins" w:hAnsi="Poppins" w:cs="Poppins"/>
                <w:lang w:val="en-GB"/>
              </w:rPr>
            </w:pPr>
            <w:r w:rsidRPr="008B346E">
              <w:rPr>
                <w:rFonts w:ascii="Poppins" w:hAnsi="Poppins" w:cs="Poppins"/>
                <w:lang w:val="en-GB"/>
              </w:rPr>
              <w:t>Fonte: Istat -SHA.</w:t>
            </w:r>
          </w:p>
        </w:tc>
      </w:tr>
      <w:tr w:rsidR="007C7C9C" w:rsidRPr="008B346E" w14:paraId="29C669B1" w14:textId="77777777" w:rsidTr="00B74592">
        <w:tc>
          <w:tcPr>
            <w:tcW w:w="0" w:type="auto"/>
            <w:tcMar>
              <w:left w:w="57" w:type="dxa"/>
              <w:right w:w="57" w:type="dxa"/>
            </w:tcMar>
          </w:tcPr>
          <w:p w14:paraId="4AB90630" w14:textId="77777777" w:rsidR="007C7C9C" w:rsidRPr="008B346E" w:rsidRDefault="007C7C9C" w:rsidP="00B74592">
            <w:pPr>
              <w:jc w:val="both"/>
              <w:rPr>
                <w:rFonts w:ascii="Poppins" w:hAnsi="Poppins" w:cs="Poppins"/>
                <w:lang w:val="en-GB"/>
              </w:rPr>
            </w:pPr>
            <w:r w:rsidRPr="008B346E">
              <w:rPr>
                <w:rFonts w:ascii="Poppins" w:hAnsi="Poppins" w:cs="Poppins"/>
                <w:lang w:val="en-GB"/>
              </w:rPr>
              <w:t>Spesa sanitaria privata (PHE) pro capite</w:t>
            </w:r>
          </w:p>
        </w:tc>
        <w:tc>
          <w:tcPr>
            <w:tcW w:w="0" w:type="auto"/>
            <w:tcMar>
              <w:left w:w="57" w:type="dxa"/>
              <w:right w:w="57" w:type="dxa"/>
            </w:tcMar>
          </w:tcPr>
          <w:p w14:paraId="372F39BA" w14:textId="77777777" w:rsidR="007C7C9C" w:rsidRPr="008B346E" w:rsidRDefault="007C7C9C" w:rsidP="00B74592">
            <w:pPr>
              <w:jc w:val="both"/>
              <w:rPr>
                <w:rFonts w:ascii="Poppins" w:hAnsi="Poppins" w:cs="Poppins"/>
                <w:lang w:val="en-GB"/>
              </w:rPr>
            </w:pPr>
            <w:r w:rsidRPr="008B346E">
              <w:rPr>
                <w:rFonts w:ascii="Poppins" w:hAnsi="Poppins" w:cs="Poppins"/>
                <w:lang w:val="en-GB"/>
              </w:rPr>
              <w:t>Quota di PHE sulla spesa sanitaria corrente e PHE per tipologia di famiglia. Fonte: Istat -SHA.</w:t>
            </w:r>
          </w:p>
        </w:tc>
      </w:tr>
      <w:tr w:rsidR="007C7C9C" w:rsidRPr="008B346E" w14:paraId="4A12AEE0" w14:textId="77777777" w:rsidTr="00B74592">
        <w:tc>
          <w:tcPr>
            <w:tcW w:w="0" w:type="auto"/>
            <w:tcMar>
              <w:left w:w="57" w:type="dxa"/>
              <w:right w:w="57" w:type="dxa"/>
            </w:tcMar>
          </w:tcPr>
          <w:p w14:paraId="3BD16BF7" w14:textId="77777777" w:rsidR="007C7C9C" w:rsidRPr="008B346E" w:rsidRDefault="007C7C9C" w:rsidP="00B74592">
            <w:pPr>
              <w:jc w:val="both"/>
              <w:rPr>
                <w:rFonts w:ascii="Poppins" w:hAnsi="Poppins" w:cs="Poppins"/>
                <w:lang w:val="en-GB"/>
              </w:rPr>
            </w:pPr>
            <w:r w:rsidRPr="008B346E">
              <w:rPr>
                <w:rFonts w:ascii="Poppins" w:hAnsi="Poppins" w:cs="Poppins"/>
                <w:lang w:val="en-GB"/>
              </w:rPr>
              <w:t>Spese vive (OOPE)</w:t>
            </w:r>
          </w:p>
        </w:tc>
        <w:tc>
          <w:tcPr>
            <w:tcW w:w="0" w:type="auto"/>
            <w:tcMar>
              <w:left w:w="57" w:type="dxa"/>
              <w:right w:w="57" w:type="dxa"/>
            </w:tcMar>
          </w:tcPr>
          <w:p w14:paraId="6C27B333" w14:textId="77777777" w:rsidR="007C7C9C" w:rsidRPr="008B346E" w:rsidRDefault="007C7C9C" w:rsidP="00B74592">
            <w:pPr>
              <w:jc w:val="both"/>
              <w:rPr>
                <w:rFonts w:ascii="Poppins" w:hAnsi="Poppins" w:cs="Poppins"/>
                <w:lang w:val="en-GB"/>
              </w:rPr>
            </w:pPr>
            <w:r w:rsidRPr="008B346E">
              <w:rPr>
                <w:rFonts w:ascii="Poppins" w:hAnsi="Poppins" w:cs="Poppins"/>
                <w:lang w:val="en-GB"/>
              </w:rPr>
              <w:t>Quota di OOPE sulla spesa sanitaria corrente e OOPE per tipologia di famiglia. Fonte: Istat -SHA.</w:t>
            </w:r>
          </w:p>
        </w:tc>
      </w:tr>
      <w:tr w:rsidR="007C7C9C" w:rsidRPr="008B346E" w14:paraId="26A140A9" w14:textId="77777777" w:rsidTr="00B74592">
        <w:tc>
          <w:tcPr>
            <w:tcW w:w="0" w:type="auto"/>
            <w:tcMar>
              <w:left w:w="57" w:type="dxa"/>
              <w:right w:w="57" w:type="dxa"/>
            </w:tcMar>
          </w:tcPr>
          <w:p w14:paraId="49CBB140" w14:textId="77777777" w:rsidR="007C7C9C" w:rsidRPr="008B346E" w:rsidRDefault="007C7C9C" w:rsidP="00B74592">
            <w:pPr>
              <w:jc w:val="both"/>
              <w:rPr>
                <w:rFonts w:ascii="Poppins" w:hAnsi="Poppins" w:cs="Poppins"/>
                <w:lang w:val="en-GB"/>
              </w:rPr>
            </w:pPr>
            <w:r w:rsidRPr="008B346E">
              <w:rPr>
                <w:rFonts w:ascii="Poppins" w:hAnsi="Poppins" w:cs="Poppins"/>
                <w:lang w:val="en-GB"/>
              </w:rPr>
              <w:t>Schemi di assicurazione sanitaria volontaria (VHIS)</w:t>
            </w:r>
          </w:p>
        </w:tc>
        <w:tc>
          <w:tcPr>
            <w:tcW w:w="0" w:type="auto"/>
            <w:tcMar>
              <w:left w:w="57" w:type="dxa"/>
              <w:right w:w="57" w:type="dxa"/>
            </w:tcMar>
          </w:tcPr>
          <w:p w14:paraId="265BB0FA" w14:textId="77777777" w:rsidR="007C7C9C" w:rsidRPr="008B346E" w:rsidRDefault="007C7C9C" w:rsidP="00B74592">
            <w:pPr>
              <w:jc w:val="both"/>
              <w:rPr>
                <w:rFonts w:ascii="Poppins" w:hAnsi="Poppins" w:cs="Poppins"/>
                <w:lang w:val="en-GB"/>
              </w:rPr>
            </w:pPr>
            <w:r w:rsidRPr="008B346E">
              <w:rPr>
                <w:rFonts w:ascii="Poppins" w:hAnsi="Poppins" w:cs="Poppins"/>
                <w:lang w:val="en-GB"/>
              </w:rPr>
              <w:t>Quota di VHIS sulla spesa sanitaria corrente e VHIS per tipologia di famiglia e tipologia di assicurazione. Fonte: Istat -SHA.</w:t>
            </w:r>
          </w:p>
        </w:tc>
      </w:tr>
      <w:tr w:rsidR="007C7C9C" w:rsidRPr="008B346E" w14:paraId="492286E7" w14:textId="77777777" w:rsidTr="00B74592">
        <w:tc>
          <w:tcPr>
            <w:tcW w:w="0" w:type="auto"/>
            <w:tcMar>
              <w:left w:w="57" w:type="dxa"/>
              <w:right w:w="57" w:type="dxa"/>
            </w:tcMar>
          </w:tcPr>
          <w:p w14:paraId="133A6512" w14:textId="77777777" w:rsidR="007C7C9C" w:rsidRPr="008B346E" w:rsidRDefault="007C7C9C" w:rsidP="00B74592">
            <w:pPr>
              <w:jc w:val="both"/>
              <w:rPr>
                <w:rFonts w:ascii="Poppins" w:hAnsi="Poppins" w:cs="Poppins"/>
                <w:lang w:val="en-GB"/>
              </w:rPr>
            </w:pPr>
            <w:r w:rsidRPr="008B346E">
              <w:rPr>
                <w:rFonts w:ascii="Poppins" w:hAnsi="Poppins" w:cs="Poppins"/>
                <w:lang w:val="en-GB"/>
              </w:rPr>
              <w:t>Schemi di finanziamento NPISH</w:t>
            </w:r>
          </w:p>
        </w:tc>
        <w:tc>
          <w:tcPr>
            <w:tcW w:w="0" w:type="auto"/>
            <w:tcMar>
              <w:left w:w="57" w:type="dxa"/>
              <w:right w:w="57" w:type="dxa"/>
            </w:tcMar>
          </w:tcPr>
          <w:p w14:paraId="42441691" w14:textId="77777777" w:rsidR="007C7C9C" w:rsidRPr="008B346E" w:rsidRDefault="007C7C9C" w:rsidP="00B74592">
            <w:pPr>
              <w:jc w:val="both"/>
              <w:rPr>
                <w:rFonts w:ascii="Poppins" w:hAnsi="Poppins" w:cs="Poppins"/>
                <w:lang w:val="en-GB"/>
              </w:rPr>
            </w:pPr>
            <w:r w:rsidRPr="008B346E">
              <w:rPr>
                <w:rFonts w:ascii="Poppins" w:hAnsi="Poppins" w:cs="Poppins"/>
                <w:lang w:val="en-GB"/>
              </w:rPr>
              <w:t>Istituzioni senza scopo di lucro al servizio delle famiglie (ISPI). Fonte: Istat -SHA.</w:t>
            </w:r>
          </w:p>
        </w:tc>
      </w:tr>
      <w:tr w:rsidR="007C7C9C" w:rsidRPr="008B346E" w14:paraId="39E8A8C0" w14:textId="77777777" w:rsidTr="00B74592">
        <w:tc>
          <w:tcPr>
            <w:tcW w:w="0" w:type="auto"/>
            <w:tcMar>
              <w:left w:w="57" w:type="dxa"/>
              <w:right w:w="57" w:type="dxa"/>
            </w:tcMar>
          </w:tcPr>
          <w:p w14:paraId="4C9E17AC" w14:textId="77777777" w:rsidR="007C7C9C" w:rsidRPr="008B346E" w:rsidRDefault="007C7C9C" w:rsidP="00B74592">
            <w:pPr>
              <w:jc w:val="both"/>
              <w:rPr>
                <w:rFonts w:ascii="Poppins" w:hAnsi="Poppins" w:cs="Poppins"/>
                <w:lang w:val="en-GB"/>
              </w:rPr>
            </w:pPr>
            <w:r w:rsidRPr="008B346E">
              <w:rPr>
                <w:rFonts w:ascii="Poppins" w:hAnsi="Poppins" w:cs="Poppins"/>
                <w:lang w:val="en-GB"/>
              </w:rPr>
              <w:t>Spesa ATS per gli anziani</w:t>
            </w:r>
          </w:p>
        </w:tc>
        <w:tc>
          <w:tcPr>
            <w:tcW w:w="0" w:type="auto"/>
            <w:tcMar>
              <w:left w:w="57" w:type="dxa"/>
              <w:right w:w="57" w:type="dxa"/>
            </w:tcMar>
          </w:tcPr>
          <w:p w14:paraId="67FEED76" w14:textId="77777777" w:rsidR="007C7C9C" w:rsidRPr="008B346E" w:rsidRDefault="007C7C9C" w:rsidP="00B74592">
            <w:pPr>
              <w:jc w:val="both"/>
              <w:rPr>
                <w:rFonts w:ascii="Poppins" w:hAnsi="Poppins" w:cs="Poppins"/>
                <w:lang w:val="en-GB"/>
              </w:rPr>
            </w:pPr>
            <w:r w:rsidRPr="008B346E">
              <w:rPr>
                <w:rFonts w:ascii="Poppins" w:hAnsi="Poppins" w:cs="Poppins"/>
                <w:lang w:val="en-GB"/>
              </w:rPr>
              <w:t>Spesa delle Aree Sociali Territoriali (Ats) per servizi agli anziani. Fonte: Istat -ISSM.</w:t>
            </w:r>
          </w:p>
        </w:tc>
      </w:tr>
      <w:tr w:rsidR="007C7C9C" w:rsidRPr="008B346E" w14:paraId="39C406B6" w14:textId="77777777" w:rsidTr="00B74592">
        <w:tc>
          <w:tcPr>
            <w:tcW w:w="0" w:type="auto"/>
            <w:gridSpan w:val="2"/>
            <w:tcMar>
              <w:left w:w="57" w:type="dxa"/>
              <w:right w:w="57" w:type="dxa"/>
            </w:tcMar>
          </w:tcPr>
          <w:p w14:paraId="2D9EA245" w14:textId="77777777" w:rsidR="007C7C9C" w:rsidRPr="008B346E" w:rsidRDefault="007C7C9C" w:rsidP="00B74592">
            <w:pPr>
              <w:jc w:val="both"/>
              <w:rPr>
                <w:rFonts w:ascii="Poppins" w:hAnsi="Poppins" w:cs="Poppins"/>
                <w:lang w:val="en-GB"/>
              </w:rPr>
            </w:pPr>
            <w:r w:rsidRPr="008B346E">
              <w:rPr>
                <w:rFonts w:ascii="Poppins" w:hAnsi="Poppins" w:cs="Poppins"/>
                <w:b/>
                <w:bCs/>
                <w:lang w:val="en-GB"/>
              </w:rPr>
              <w:t xml:space="preserve">Indicatori macroeconomici: </w:t>
            </w:r>
            <w:r w:rsidRPr="008B346E">
              <w:rPr>
                <w:rFonts w:ascii="Poppins" w:hAnsi="Poppins" w:cs="Poppins"/>
                <w:b/>
                <w:bCs/>
                <w:i/>
                <w:iCs/>
                <w:lang w:val="en-GB"/>
              </w:rPr>
              <w:t>anziani nelle strutture residenziali socio-sanitarie</w:t>
            </w:r>
          </w:p>
        </w:tc>
      </w:tr>
      <w:tr w:rsidR="007C7C9C" w:rsidRPr="008B346E" w14:paraId="440D26C7" w14:textId="77777777" w:rsidTr="00B74592">
        <w:tc>
          <w:tcPr>
            <w:tcW w:w="0" w:type="auto"/>
            <w:tcMar>
              <w:left w:w="57" w:type="dxa"/>
              <w:right w:w="57" w:type="dxa"/>
            </w:tcMar>
          </w:tcPr>
          <w:p w14:paraId="30423F32" w14:textId="77777777" w:rsidR="007C7C9C" w:rsidRPr="008B346E" w:rsidRDefault="007C7C9C" w:rsidP="00B74592">
            <w:pPr>
              <w:jc w:val="both"/>
              <w:rPr>
                <w:rFonts w:ascii="Poppins" w:hAnsi="Poppins" w:cs="Poppins"/>
                <w:lang w:val="en-GB"/>
              </w:rPr>
            </w:pPr>
            <w:r w:rsidRPr="008B346E">
              <w:rPr>
                <w:rFonts w:ascii="Poppins" w:hAnsi="Poppins" w:cs="Poppins"/>
                <w:lang w:val="en-GB"/>
              </w:rPr>
              <w:t>Disponibilità di posti letto</w:t>
            </w:r>
          </w:p>
        </w:tc>
        <w:tc>
          <w:tcPr>
            <w:tcW w:w="0" w:type="auto"/>
            <w:tcMar>
              <w:left w:w="57" w:type="dxa"/>
              <w:right w:w="57" w:type="dxa"/>
            </w:tcMar>
          </w:tcPr>
          <w:p w14:paraId="787F3B26" w14:textId="77777777" w:rsidR="007C7C9C" w:rsidRPr="008B346E" w:rsidRDefault="007C7C9C" w:rsidP="00B74592">
            <w:pPr>
              <w:jc w:val="both"/>
              <w:rPr>
                <w:rFonts w:ascii="Poppins" w:hAnsi="Poppins" w:cs="Poppins"/>
                <w:lang w:val="en-GB"/>
              </w:rPr>
            </w:pPr>
            <w:r w:rsidRPr="008B346E">
              <w:rPr>
                <w:rFonts w:ascii="Poppins" w:hAnsi="Poppins" w:cs="Poppins"/>
                <w:lang w:val="en-GB"/>
              </w:rPr>
              <w:t>Quota di posti letto disponibili nelle strutture residenziali socio-sanitarie rispetto alla popolazione anziana. Fonte: Istat -RHCF.</w:t>
            </w:r>
          </w:p>
        </w:tc>
      </w:tr>
      <w:tr w:rsidR="007C7C9C" w:rsidRPr="008B346E" w14:paraId="36D29041" w14:textId="77777777" w:rsidTr="00B74592">
        <w:tc>
          <w:tcPr>
            <w:tcW w:w="0" w:type="auto"/>
            <w:tcMar>
              <w:left w:w="57" w:type="dxa"/>
              <w:right w:w="57" w:type="dxa"/>
            </w:tcMar>
          </w:tcPr>
          <w:p w14:paraId="47957171" w14:textId="77777777" w:rsidR="007C7C9C" w:rsidRPr="008B346E" w:rsidRDefault="007C7C9C" w:rsidP="00B74592">
            <w:pPr>
              <w:jc w:val="both"/>
              <w:rPr>
                <w:rFonts w:ascii="Poppins" w:hAnsi="Poppins" w:cs="Poppins"/>
                <w:lang w:val="en-GB"/>
              </w:rPr>
            </w:pPr>
            <w:r w:rsidRPr="008B346E">
              <w:rPr>
                <w:rFonts w:ascii="Poppins" w:hAnsi="Poppins" w:cs="Poppins"/>
                <w:lang w:val="en-GB"/>
              </w:rPr>
              <w:lastRenderedPageBreak/>
              <w:t>Posti letto occupati da over 65</w:t>
            </w:r>
          </w:p>
        </w:tc>
        <w:tc>
          <w:tcPr>
            <w:tcW w:w="0" w:type="auto"/>
            <w:tcMar>
              <w:left w:w="57" w:type="dxa"/>
              <w:right w:w="57" w:type="dxa"/>
            </w:tcMar>
          </w:tcPr>
          <w:p w14:paraId="4B2DCB06" w14:textId="77777777" w:rsidR="007C7C9C" w:rsidRPr="008B346E" w:rsidRDefault="007C7C9C" w:rsidP="00B74592">
            <w:pPr>
              <w:jc w:val="both"/>
              <w:rPr>
                <w:rFonts w:ascii="Poppins" w:hAnsi="Poppins" w:cs="Poppins"/>
                <w:lang w:val="en-GB"/>
              </w:rPr>
            </w:pPr>
            <w:r w:rsidRPr="008B346E">
              <w:rPr>
                <w:rFonts w:ascii="Poppins" w:hAnsi="Poppins" w:cs="Poppins"/>
                <w:lang w:val="en-GB"/>
              </w:rPr>
              <w:t>Quota di posti letto occupati da persone over 65 autosufficienti e non autosufficienti nelle strutture residenziali socio-sanitarie per livello di assistenza sanitaria. Fonte: Istat -RHCF.</w:t>
            </w:r>
          </w:p>
        </w:tc>
      </w:tr>
      <w:tr w:rsidR="007C7C9C" w:rsidRPr="008B346E" w14:paraId="3F34AD56" w14:textId="77777777" w:rsidTr="00B74592">
        <w:tc>
          <w:tcPr>
            <w:tcW w:w="0" w:type="auto"/>
            <w:tcMar>
              <w:left w:w="57" w:type="dxa"/>
              <w:right w:w="57" w:type="dxa"/>
            </w:tcMar>
          </w:tcPr>
          <w:p w14:paraId="46F4D6BE" w14:textId="77777777" w:rsidR="007C7C9C" w:rsidRPr="008B346E" w:rsidRDefault="007C7C9C" w:rsidP="00B74592">
            <w:pPr>
              <w:jc w:val="both"/>
              <w:rPr>
                <w:rFonts w:ascii="Poppins" w:hAnsi="Poppins" w:cs="Poppins"/>
                <w:lang w:val="en-GB"/>
              </w:rPr>
            </w:pPr>
            <w:r w:rsidRPr="008B346E">
              <w:rPr>
                <w:rFonts w:ascii="Poppins" w:hAnsi="Poppins" w:cs="Poppins"/>
                <w:lang w:val="en-GB"/>
              </w:rPr>
              <w:t>Assistenza a lungo termine</w:t>
            </w:r>
          </w:p>
        </w:tc>
        <w:tc>
          <w:tcPr>
            <w:tcW w:w="0" w:type="auto"/>
            <w:tcMar>
              <w:left w:w="57" w:type="dxa"/>
              <w:right w:w="57" w:type="dxa"/>
            </w:tcMar>
          </w:tcPr>
          <w:p w14:paraId="39DF1BA7" w14:textId="77777777" w:rsidR="007C7C9C" w:rsidRPr="008B346E" w:rsidRDefault="007C7C9C" w:rsidP="00B74592">
            <w:pPr>
              <w:jc w:val="both"/>
              <w:rPr>
                <w:rFonts w:ascii="Poppins" w:hAnsi="Poppins" w:cs="Poppins"/>
                <w:lang w:val="en-GB"/>
              </w:rPr>
            </w:pPr>
            <w:r w:rsidRPr="008B346E">
              <w:rPr>
                <w:rFonts w:ascii="Poppins" w:hAnsi="Poppins" w:cs="Poppins"/>
                <w:lang w:val="en-GB"/>
              </w:rPr>
              <w:t>Percentuale di persone che ricevono servizi di assistenza a lungo termine (a domicilio, in ospedale o in istituzioni diverse dagli ospedali). Fonte: SIAD; Istat -RHCF.</w:t>
            </w:r>
          </w:p>
        </w:tc>
      </w:tr>
      <w:tr w:rsidR="007C7C9C" w:rsidRPr="008B346E" w14:paraId="1BD32343" w14:textId="77777777" w:rsidTr="00B74592">
        <w:tc>
          <w:tcPr>
            <w:tcW w:w="0" w:type="auto"/>
            <w:tcMar>
              <w:left w:w="57" w:type="dxa"/>
              <w:right w:w="57" w:type="dxa"/>
            </w:tcMar>
          </w:tcPr>
          <w:p w14:paraId="62EA83A6" w14:textId="77777777" w:rsidR="007C7C9C" w:rsidRPr="008B346E" w:rsidRDefault="007C7C9C" w:rsidP="00B74592">
            <w:pPr>
              <w:jc w:val="both"/>
              <w:rPr>
                <w:rFonts w:ascii="Poppins" w:hAnsi="Poppins" w:cs="Poppins"/>
                <w:lang w:val="en-GB"/>
              </w:rPr>
            </w:pPr>
            <w:r w:rsidRPr="008B346E">
              <w:rPr>
                <w:rFonts w:ascii="Poppins" w:hAnsi="Poppins" w:cs="Poppins"/>
                <w:lang w:val="en-GB"/>
              </w:rPr>
              <w:t>Assistenza domiciliare integrata</w:t>
            </w:r>
          </w:p>
        </w:tc>
        <w:tc>
          <w:tcPr>
            <w:tcW w:w="0" w:type="auto"/>
            <w:tcMar>
              <w:left w:w="57" w:type="dxa"/>
              <w:right w:w="57" w:type="dxa"/>
            </w:tcMar>
          </w:tcPr>
          <w:p w14:paraId="59C9551D" w14:textId="77777777" w:rsidR="007C7C9C" w:rsidRPr="008B346E" w:rsidRDefault="007C7C9C" w:rsidP="00B74592">
            <w:pPr>
              <w:jc w:val="both"/>
              <w:rPr>
                <w:rFonts w:ascii="Poppins" w:hAnsi="Poppins" w:cs="Poppins"/>
                <w:lang w:val="en-GB"/>
              </w:rPr>
            </w:pPr>
            <w:r w:rsidRPr="008B346E">
              <w:rPr>
                <w:rFonts w:ascii="Poppins" w:hAnsi="Poppins" w:cs="Poppins"/>
                <w:lang w:val="en-GB"/>
              </w:rPr>
              <w:t>Rapporto tra anziani assistiti con servizi integrati di assistenza domiciliare e assistenza sanitaria e popolazione target. Fonte: Istat -RHCF; Istat -ISSM.</w:t>
            </w:r>
          </w:p>
        </w:tc>
      </w:tr>
      <w:tr w:rsidR="007C7C9C" w:rsidRPr="008B346E" w14:paraId="7BC20775" w14:textId="77777777" w:rsidTr="00B74592">
        <w:tc>
          <w:tcPr>
            <w:tcW w:w="0" w:type="auto"/>
            <w:tcMar>
              <w:left w:w="57" w:type="dxa"/>
              <w:right w:w="57" w:type="dxa"/>
            </w:tcMar>
          </w:tcPr>
          <w:p w14:paraId="0DFC8022" w14:textId="77777777" w:rsidR="007C7C9C" w:rsidRPr="008B346E" w:rsidRDefault="007C7C9C" w:rsidP="00B74592">
            <w:pPr>
              <w:jc w:val="both"/>
              <w:rPr>
                <w:rFonts w:ascii="Poppins" w:hAnsi="Poppins" w:cs="Poppins"/>
                <w:lang w:val="en-GB"/>
              </w:rPr>
            </w:pPr>
            <w:r w:rsidRPr="008B346E">
              <w:rPr>
                <w:rFonts w:ascii="Poppins" w:hAnsi="Poppins" w:cs="Poppins"/>
                <w:lang w:val="en-GB"/>
              </w:rPr>
              <w:t>Assistenza domiciliare sociale</w:t>
            </w:r>
          </w:p>
        </w:tc>
        <w:tc>
          <w:tcPr>
            <w:tcW w:w="0" w:type="auto"/>
            <w:tcMar>
              <w:left w:w="57" w:type="dxa"/>
              <w:right w:w="57" w:type="dxa"/>
            </w:tcMar>
          </w:tcPr>
          <w:p w14:paraId="2ACC5412" w14:textId="77777777" w:rsidR="007C7C9C" w:rsidRPr="008B346E" w:rsidRDefault="007C7C9C" w:rsidP="00B74592">
            <w:pPr>
              <w:jc w:val="both"/>
              <w:rPr>
                <w:rFonts w:ascii="Poppins" w:hAnsi="Poppins" w:cs="Poppins"/>
                <w:lang w:val="en-GB"/>
              </w:rPr>
            </w:pPr>
            <w:r w:rsidRPr="008B346E">
              <w:rPr>
                <w:rFonts w:ascii="Poppins" w:hAnsi="Poppins" w:cs="Poppins"/>
                <w:lang w:val="en-GB"/>
              </w:rPr>
              <w:t>Rapporto tra anziani assistiti tramite servizi di assistenza domiciliare sociale e assistenza sanitaria e popolazione target. Fonte: Istat -ISSM.</w:t>
            </w:r>
          </w:p>
        </w:tc>
      </w:tr>
      <w:tr w:rsidR="007C7C9C" w:rsidRPr="008B346E" w14:paraId="613FED3C" w14:textId="77777777" w:rsidTr="00B74592">
        <w:tc>
          <w:tcPr>
            <w:tcW w:w="0" w:type="auto"/>
            <w:tcMar>
              <w:left w:w="57" w:type="dxa"/>
              <w:right w:w="57" w:type="dxa"/>
            </w:tcMar>
          </w:tcPr>
          <w:p w14:paraId="5DA51A4C" w14:textId="77777777" w:rsidR="007C7C9C" w:rsidRPr="008B346E" w:rsidRDefault="007C7C9C" w:rsidP="00B74592">
            <w:pPr>
              <w:jc w:val="both"/>
              <w:rPr>
                <w:rFonts w:ascii="Poppins" w:hAnsi="Poppins" w:cs="Poppins"/>
                <w:lang w:val="en-GB"/>
              </w:rPr>
            </w:pPr>
            <w:r w:rsidRPr="008B346E">
              <w:rPr>
                <w:rFonts w:ascii="Poppins" w:hAnsi="Poppins" w:cs="Poppins"/>
                <w:lang w:val="en-GB"/>
              </w:rPr>
              <w:t>Tasso di ospedalizzazione</w:t>
            </w:r>
          </w:p>
        </w:tc>
        <w:tc>
          <w:tcPr>
            <w:tcW w:w="0" w:type="auto"/>
            <w:tcMar>
              <w:left w:w="57" w:type="dxa"/>
              <w:right w:w="57" w:type="dxa"/>
            </w:tcMar>
          </w:tcPr>
          <w:p w14:paraId="21EECD1F" w14:textId="77777777" w:rsidR="007C7C9C" w:rsidRPr="008B346E" w:rsidRDefault="007C7C9C" w:rsidP="00B74592">
            <w:pPr>
              <w:jc w:val="both"/>
              <w:rPr>
                <w:rFonts w:ascii="Poppins" w:hAnsi="Poppins" w:cs="Poppins"/>
                <w:lang w:val="en-GB"/>
              </w:rPr>
            </w:pPr>
            <w:r w:rsidRPr="008B346E">
              <w:rPr>
                <w:rFonts w:ascii="Poppins" w:hAnsi="Poppins" w:cs="Poppins"/>
                <w:lang w:val="en-GB"/>
              </w:rPr>
              <w:t>Tasso di ospedalizzazione e dimissioni ospedaliere per regione ed età. Fonte: Istat -HOSP.</w:t>
            </w:r>
          </w:p>
        </w:tc>
      </w:tr>
      <w:tr w:rsidR="007C7C9C" w:rsidRPr="008B346E" w14:paraId="0D75F6B6" w14:textId="77777777" w:rsidTr="00B74592">
        <w:tc>
          <w:tcPr>
            <w:tcW w:w="0" w:type="auto"/>
            <w:tcMar>
              <w:left w:w="57" w:type="dxa"/>
              <w:right w:w="57" w:type="dxa"/>
            </w:tcMar>
          </w:tcPr>
          <w:p w14:paraId="6C7D01DE" w14:textId="77777777" w:rsidR="007C7C9C" w:rsidRPr="008B346E" w:rsidRDefault="007C7C9C" w:rsidP="00B74592">
            <w:pPr>
              <w:jc w:val="both"/>
              <w:rPr>
                <w:rFonts w:ascii="Poppins" w:hAnsi="Poppins" w:cs="Poppins"/>
                <w:lang w:val="en-GB"/>
              </w:rPr>
            </w:pPr>
            <w:r w:rsidRPr="008B346E">
              <w:rPr>
                <w:rFonts w:ascii="Poppins" w:hAnsi="Poppins" w:cs="Poppins"/>
                <w:lang w:val="en-GB"/>
              </w:rPr>
              <w:t>Durata media della degenza in ospedale</w:t>
            </w:r>
          </w:p>
        </w:tc>
        <w:tc>
          <w:tcPr>
            <w:tcW w:w="0" w:type="auto"/>
            <w:tcMar>
              <w:left w:w="57" w:type="dxa"/>
              <w:right w:w="57" w:type="dxa"/>
            </w:tcMar>
          </w:tcPr>
          <w:p w14:paraId="12BD9125" w14:textId="77777777" w:rsidR="007C7C9C" w:rsidRPr="008B346E" w:rsidRDefault="007C7C9C" w:rsidP="00B74592">
            <w:pPr>
              <w:jc w:val="both"/>
              <w:rPr>
                <w:rFonts w:ascii="Poppins" w:hAnsi="Poppins" w:cs="Poppins"/>
                <w:lang w:val="en-GB"/>
              </w:rPr>
            </w:pPr>
            <w:r w:rsidRPr="008B346E">
              <w:rPr>
                <w:rFonts w:ascii="Poppins" w:hAnsi="Poppins" w:cs="Poppins"/>
                <w:lang w:val="en-GB"/>
              </w:rPr>
              <w:t>Durata media della degenza dei pazienti ricoverati in ospedale per regione ed età. Fonte: Istat -HOSP.</w:t>
            </w:r>
          </w:p>
        </w:tc>
      </w:tr>
      <w:tr w:rsidR="007C7C9C" w:rsidRPr="008B346E" w14:paraId="1987D7A5" w14:textId="77777777" w:rsidTr="00B74592">
        <w:tc>
          <w:tcPr>
            <w:tcW w:w="0" w:type="auto"/>
            <w:gridSpan w:val="2"/>
            <w:tcMar>
              <w:left w:w="57" w:type="dxa"/>
              <w:right w:w="57" w:type="dxa"/>
            </w:tcMar>
          </w:tcPr>
          <w:p w14:paraId="0186556D" w14:textId="77777777" w:rsidR="007C7C9C" w:rsidRPr="008B346E" w:rsidRDefault="007C7C9C" w:rsidP="00B74592">
            <w:pPr>
              <w:jc w:val="both"/>
              <w:rPr>
                <w:rFonts w:ascii="Poppins" w:hAnsi="Poppins" w:cs="Poppins"/>
                <w:lang w:val="en-GB"/>
              </w:rPr>
            </w:pPr>
            <w:r w:rsidRPr="008B346E">
              <w:rPr>
                <w:rFonts w:ascii="Poppins" w:hAnsi="Poppins" w:cs="Poppins"/>
                <w:b/>
                <w:bCs/>
                <w:lang w:val="en-GB"/>
              </w:rPr>
              <w:t>Indicatori macroeconomici:</w:t>
            </w:r>
            <w:r w:rsidRPr="008B346E">
              <w:rPr>
                <w:rFonts w:ascii="Poppins" w:hAnsi="Poppins" w:cs="Poppins"/>
                <w:lang w:val="en-GB"/>
              </w:rPr>
              <w:t xml:space="preserve"> </w:t>
            </w:r>
            <w:r w:rsidRPr="008B346E">
              <w:rPr>
                <w:rFonts w:ascii="Poppins" w:hAnsi="Poppins" w:cs="Poppins"/>
                <w:i/>
                <w:iCs/>
                <w:lang w:val="en-GB"/>
              </w:rPr>
              <w:t>composizione degli operatori sanitari e dei lavoratori domestici</w:t>
            </w:r>
          </w:p>
        </w:tc>
      </w:tr>
      <w:tr w:rsidR="007C7C9C" w:rsidRPr="008B346E" w14:paraId="2CC0D03E" w14:textId="77777777" w:rsidTr="00B74592">
        <w:tc>
          <w:tcPr>
            <w:tcW w:w="0" w:type="auto"/>
            <w:tcMar>
              <w:left w:w="57" w:type="dxa"/>
              <w:right w:w="57" w:type="dxa"/>
            </w:tcMar>
          </w:tcPr>
          <w:p w14:paraId="0B688C65" w14:textId="77777777" w:rsidR="007C7C9C" w:rsidRPr="008B346E" w:rsidRDefault="007C7C9C" w:rsidP="00B74592">
            <w:pPr>
              <w:jc w:val="both"/>
              <w:rPr>
                <w:rFonts w:ascii="Poppins" w:hAnsi="Poppins" w:cs="Poppins"/>
                <w:lang w:val="en-GB"/>
              </w:rPr>
            </w:pPr>
            <w:r w:rsidRPr="008B346E">
              <w:rPr>
                <w:rFonts w:ascii="Poppins" w:hAnsi="Poppins" w:cs="Poppins"/>
                <w:i/>
                <w:iCs/>
                <w:lang w:val="en-GB"/>
              </w:rPr>
              <w:t>Composizione del lavoratore domestico</w:t>
            </w:r>
          </w:p>
        </w:tc>
        <w:tc>
          <w:tcPr>
            <w:tcW w:w="0" w:type="auto"/>
            <w:tcMar>
              <w:left w:w="57" w:type="dxa"/>
              <w:right w:w="57" w:type="dxa"/>
            </w:tcMar>
          </w:tcPr>
          <w:p w14:paraId="44DEA731" w14:textId="77777777" w:rsidR="007C7C9C" w:rsidRPr="008B346E" w:rsidRDefault="007C7C9C" w:rsidP="00B74592">
            <w:pPr>
              <w:jc w:val="both"/>
              <w:rPr>
                <w:rFonts w:ascii="Poppins" w:hAnsi="Poppins" w:cs="Poppins"/>
                <w:lang w:val="en-GB"/>
              </w:rPr>
            </w:pPr>
            <w:r w:rsidRPr="008B346E">
              <w:rPr>
                <w:rFonts w:ascii="Poppins" w:hAnsi="Poppins" w:cs="Poppins"/>
                <w:lang w:val="en-GB"/>
              </w:rPr>
              <w:t>Analisi dei lavoratori domestici, inclusa la loro distribuzione per età, genere e cittadinanza, distribuzione regionale dell'occupazione, tipo di ruolo lavorativo, retribuzione media, numero di settimane di lavoro dichiarate annualmente e ore lavorative settimanali medie. Fonte: INPS- DoW .</w:t>
            </w:r>
          </w:p>
        </w:tc>
      </w:tr>
      <w:tr w:rsidR="007C7C9C" w:rsidRPr="008B346E" w14:paraId="54849C60" w14:textId="77777777" w:rsidTr="00B74592">
        <w:tc>
          <w:tcPr>
            <w:tcW w:w="0" w:type="auto"/>
            <w:tcMar>
              <w:left w:w="57" w:type="dxa"/>
              <w:right w:w="57" w:type="dxa"/>
            </w:tcMar>
          </w:tcPr>
          <w:p w14:paraId="7C01969D" w14:textId="77777777" w:rsidR="007C7C9C" w:rsidRPr="008B346E" w:rsidRDefault="007C7C9C" w:rsidP="00B74592">
            <w:pPr>
              <w:jc w:val="both"/>
              <w:rPr>
                <w:rFonts w:ascii="Poppins" w:hAnsi="Poppins" w:cs="Poppins"/>
                <w:i/>
                <w:iCs/>
                <w:lang w:val="en-GB"/>
              </w:rPr>
            </w:pPr>
            <w:r w:rsidRPr="008B346E">
              <w:rPr>
                <w:rFonts w:ascii="Poppins" w:hAnsi="Poppins" w:cs="Poppins"/>
                <w:i/>
                <w:iCs/>
                <w:lang w:val="en-GB"/>
              </w:rPr>
              <w:t>Composizione degli operatori sanitari</w:t>
            </w:r>
          </w:p>
        </w:tc>
        <w:tc>
          <w:tcPr>
            <w:tcW w:w="0" w:type="auto"/>
            <w:tcMar>
              <w:left w:w="57" w:type="dxa"/>
              <w:right w:w="57" w:type="dxa"/>
            </w:tcMar>
          </w:tcPr>
          <w:p w14:paraId="63FBF8CC" w14:textId="77777777" w:rsidR="007C7C9C" w:rsidRPr="008B346E" w:rsidRDefault="007C7C9C" w:rsidP="00B74592">
            <w:pPr>
              <w:jc w:val="both"/>
              <w:rPr>
                <w:rFonts w:ascii="Poppins" w:hAnsi="Poppins" w:cs="Poppins"/>
                <w:lang w:val="en-GB"/>
              </w:rPr>
            </w:pPr>
            <w:r w:rsidRPr="008B346E">
              <w:rPr>
                <w:rFonts w:ascii="Poppins" w:hAnsi="Poppins" w:cs="Poppins"/>
                <w:lang w:val="en-GB"/>
              </w:rPr>
              <w:t>Analisi degli operatori sanitari per età, genere, distribuzione regionale dell'occupazione, tipologia di ruolo sanitario, retribuzione media, numero di settimane di lavoro dichiarate annualmente e ore lavorative settimanali medie. Fonte: Istat ; Eurostat; Ministero della Salute; associazioni professionali.</w:t>
            </w:r>
          </w:p>
        </w:tc>
      </w:tr>
    </w:tbl>
    <w:p w14:paraId="7E6FE8C9" w14:textId="77777777" w:rsidR="007C7C9C" w:rsidRPr="008B346E" w:rsidRDefault="007C7C9C" w:rsidP="007C7C9C">
      <w:pPr>
        <w:pStyle w:val="Titolo2"/>
        <w:ind w:left="1080"/>
        <w:rPr>
          <w:lang w:val="en-GB"/>
        </w:rPr>
      </w:pPr>
    </w:p>
    <w:p w14:paraId="1AE480E3" w14:textId="77777777" w:rsidR="00207AB3" w:rsidRPr="007657C5" w:rsidRDefault="00207AB3" w:rsidP="007657C5">
      <w:pPr>
        <w:pStyle w:val="Titolo2"/>
        <w:jc w:val="center"/>
        <w:rPr>
          <w:rFonts w:ascii="Poppins" w:hAnsi="Poppins" w:cs="Poppins"/>
          <w:color w:val="124F1A" w:themeColor="accent3" w:themeShade="BF"/>
          <w:sz w:val="36"/>
          <w:szCs w:val="36"/>
          <w:lang w:val="en-GB"/>
        </w:rPr>
      </w:pPr>
    </w:p>
    <w:sectPr w:rsidR="00207AB3" w:rsidRPr="007657C5">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101CC" w14:textId="77777777" w:rsidR="002D7626" w:rsidRDefault="002D7626" w:rsidP="0079697F">
      <w:r>
        <w:separator/>
      </w:r>
    </w:p>
  </w:endnote>
  <w:endnote w:type="continuationSeparator" w:id="0">
    <w:p w14:paraId="7A194054" w14:textId="77777777" w:rsidR="002D7626" w:rsidRDefault="002D7626"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CAA12" w14:textId="77777777" w:rsidR="002D7626" w:rsidRDefault="002D7626" w:rsidP="0079697F">
      <w:r>
        <w:separator/>
      </w:r>
    </w:p>
  </w:footnote>
  <w:footnote w:type="continuationSeparator" w:id="0">
    <w:p w14:paraId="5938E2AF" w14:textId="77777777" w:rsidR="002D7626" w:rsidRDefault="002D7626"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36CB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0906CDF"/>
    <w:multiLevelType w:val="hybridMultilevel"/>
    <w:tmpl w:val="2C203A5E"/>
    <w:lvl w:ilvl="0" w:tplc="A47C9752">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12C33"/>
    <w:multiLevelType w:val="hybridMultilevel"/>
    <w:tmpl w:val="C3CE2B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A0810F7"/>
    <w:multiLevelType w:val="multilevel"/>
    <w:tmpl w:val="03647D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16cid:durableId="186449925">
    <w:abstractNumId w:val="4"/>
  </w:num>
  <w:num w:numId="2" w16cid:durableId="1784156693">
    <w:abstractNumId w:val="3"/>
  </w:num>
  <w:num w:numId="3" w16cid:durableId="728652233">
    <w:abstractNumId w:val="0"/>
  </w:num>
  <w:num w:numId="4" w16cid:durableId="830750631">
    <w:abstractNumId w:val="1"/>
  </w:num>
  <w:num w:numId="5" w16cid:durableId="848101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36AF9"/>
    <w:rsid w:val="000B13C7"/>
    <w:rsid w:val="00151460"/>
    <w:rsid w:val="001B0E6D"/>
    <w:rsid w:val="001B3BE3"/>
    <w:rsid w:val="001F2272"/>
    <w:rsid w:val="00207AB3"/>
    <w:rsid w:val="002D7626"/>
    <w:rsid w:val="002F6176"/>
    <w:rsid w:val="0040179F"/>
    <w:rsid w:val="004C207B"/>
    <w:rsid w:val="004F0188"/>
    <w:rsid w:val="005D01DF"/>
    <w:rsid w:val="00640CE0"/>
    <w:rsid w:val="007271A8"/>
    <w:rsid w:val="007657C5"/>
    <w:rsid w:val="00775CAA"/>
    <w:rsid w:val="007869FB"/>
    <w:rsid w:val="0079697F"/>
    <w:rsid w:val="007C7C9C"/>
    <w:rsid w:val="00806D9D"/>
    <w:rsid w:val="00854359"/>
    <w:rsid w:val="008D1363"/>
    <w:rsid w:val="008D33FE"/>
    <w:rsid w:val="009770E2"/>
    <w:rsid w:val="009E1892"/>
    <w:rsid w:val="009E731E"/>
    <w:rsid w:val="00A0407F"/>
    <w:rsid w:val="00A42980"/>
    <w:rsid w:val="00A65CF0"/>
    <w:rsid w:val="00AF1B49"/>
    <w:rsid w:val="00B63973"/>
    <w:rsid w:val="00B72DDC"/>
    <w:rsid w:val="00C72F59"/>
    <w:rsid w:val="00C875F3"/>
    <w:rsid w:val="00CC5476"/>
    <w:rsid w:val="00CF3DA8"/>
    <w:rsid w:val="00D173AF"/>
    <w:rsid w:val="00D42E8F"/>
    <w:rsid w:val="00D45CD0"/>
    <w:rsid w:val="00D57771"/>
    <w:rsid w:val="00DA4184"/>
    <w:rsid w:val="00DA45F1"/>
    <w:rsid w:val="00DB3E72"/>
    <w:rsid w:val="00DD64CA"/>
    <w:rsid w:val="00EB31EA"/>
    <w:rsid w:val="00F12A1B"/>
    <w:rsid w:val="00F35BB5"/>
    <w:rsid w:val="00F6771C"/>
    <w:rsid w:val="00F72983"/>
    <w:rsid w:val="00F81A84"/>
    <w:rsid w:val="00FC0CFC"/>
    <w:rsid w:val="00FF6F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3E72"/>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pPr>
  </w:style>
  <w:style w:type="character" w:customStyle="1" w:styleId="PidipaginaCarattere">
    <w:name w:val="Piè di pagina Carattere"/>
    <w:basedOn w:val="Carpredefinitoparagrafo"/>
    <w:link w:val="Pidipagina"/>
    <w:uiPriority w:val="99"/>
    <w:rsid w:val="0079697F"/>
  </w:style>
  <w:style w:type="paragraph" w:styleId="Testonotaapidipagina">
    <w:name w:val="footnote text"/>
    <w:basedOn w:val="Normale"/>
    <w:link w:val="TestonotaapidipaginaCarattere"/>
    <w:uiPriority w:val="99"/>
    <w:unhideWhenUsed/>
    <w:rsid w:val="00F6771C"/>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F6771C"/>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F6771C"/>
    <w:rPr>
      <w:vertAlign w:val="superscript"/>
    </w:rPr>
  </w:style>
  <w:style w:type="table" w:styleId="Grigliatabella">
    <w:name w:val="Table Grid"/>
    <w:basedOn w:val="Tabellanormale"/>
    <w:uiPriority w:val="39"/>
    <w:rsid w:val="000B13C7"/>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Puntoelenco">
    <w:name w:val="List Bullet"/>
    <w:basedOn w:val="Normale"/>
    <w:uiPriority w:val="9"/>
    <w:qFormat/>
    <w:rsid w:val="000B13C7"/>
    <w:pPr>
      <w:numPr>
        <w:numId w:val="3"/>
      </w:numPr>
      <w:tabs>
        <w:tab w:val="clear" w:pos="360"/>
        <w:tab w:val="num" w:pos="432"/>
      </w:tabs>
      <w:spacing w:before="120" w:after="120" w:line="240" w:lineRule="auto"/>
      <w:ind w:left="0" w:firstLine="0"/>
      <w:contextualSpacing/>
      <w:jc w:val="both"/>
    </w:pPr>
    <w:rPr>
      <w:rFonts w:ascii="Times New Roman" w:eastAsiaTheme="minorHAnsi" w:hAnsi="Times New Roman" w:cstheme="minorBidi"/>
      <w:szCs w:val="30"/>
      <w:lang w:eastAsia="ja-JP"/>
    </w:rPr>
  </w:style>
  <w:style w:type="paragraph" w:styleId="Didascalia">
    <w:name w:val="caption"/>
    <w:basedOn w:val="Normale"/>
    <w:next w:val="Normale"/>
    <w:uiPriority w:val="35"/>
    <w:unhideWhenUsed/>
    <w:qFormat/>
    <w:rsid w:val="000B13C7"/>
    <w:pPr>
      <w:keepNext/>
      <w:spacing w:before="240" w:after="0" w:line="240" w:lineRule="auto"/>
      <w:jc w:val="both"/>
    </w:pPr>
    <w:rPr>
      <w:rFonts w:ascii="Times New Roman" w:eastAsiaTheme="minorHAnsi" w:hAnsi="Times New Roman" w:cstheme="minorBidi"/>
      <w:i/>
      <w:iCs/>
      <w:sz w:val="20"/>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1229</Words>
  <Characters>7008</Characters>
  <Application>Microsoft Office Word</Application>
  <DocSecurity>0</DocSecurity>
  <Lines>58</Lines>
  <Paragraphs>16</Paragraphs>
  <ScaleCrop>false</ScaleCrop>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19</cp:revision>
  <dcterms:created xsi:type="dcterms:W3CDTF">2025-09-29T20:31:00Z</dcterms:created>
  <dcterms:modified xsi:type="dcterms:W3CDTF">2025-10-01T14:13:00Z</dcterms:modified>
</cp:coreProperties>
</file>