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61D85" w14:textId="77777777" w:rsidR="00023DFC" w:rsidRPr="00CA1755" w:rsidRDefault="00023DFC" w:rsidP="00CA1755">
      <w:pPr>
        <w:pStyle w:val="Titolo2"/>
        <w:ind w:left="360"/>
        <w:jc w:val="center"/>
        <w:rPr>
          <w:rFonts w:ascii="Poppins" w:hAnsi="Poppins" w:cs="Poppins"/>
          <w:color w:val="124F1A" w:themeColor="accent3" w:themeShade="BF"/>
          <w:sz w:val="36"/>
          <w:szCs w:val="36"/>
          <w:lang w:val="en-GB"/>
        </w:rPr>
      </w:pPr>
      <w:bookmarkStart w:id="0" w:name="_Toc199964135"/>
      <w:bookmarkStart w:id="1" w:name="_Toc187013342"/>
      <w:bookmarkStart w:id="2" w:name="_Toc188269369"/>
      <w:bookmarkStart w:id="3" w:name="_Toc188282630"/>
    </w:p>
    <w:bookmarkEnd w:id="0"/>
    <w:bookmarkEnd w:id="1"/>
    <w:bookmarkEnd w:id="2"/>
    <w:bookmarkEnd w:id="3"/>
    <w:p w14:paraId="0A07C5FA" w14:textId="77777777" w:rsidR="00F94E90" w:rsidRDefault="00F94E90" w:rsidP="00F94E90">
      <w:pPr>
        <w:pStyle w:val="Titolo4"/>
        <w:jc w:val="center"/>
        <w:rPr>
          <w:rFonts w:ascii="Poppins" w:hAnsi="Poppins" w:cs="Poppins"/>
          <w:i w:val="0"/>
          <w:iCs w:val="0"/>
          <w:color w:val="124F1A" w:themeColor="accent3" w:themeShade="BF"/>
          <w:sz w:val="36"/>
          <w:szCs w:val="36"/>
          <w:lang w:val="en-GB"/>
        </w:rPr>
      </w:pPr>
      <w:r w:rsidRPr="00F94E90">
        <w:rPr>
          <w:rFonts w:ascii="Poppins" w:hAnsi="Poppins" w:cs="Poppins"/>
          <w:i w:val="0"/>
          <w:iCs w:val="0"/>
          <w:color w:val="124F1A" w:themeColor="accent3" w:themeShade="BF"/>
          <w:sz w:val="36"/>
          <w:szCs w:val="36"/>
          <w:lang w:val="en-GB"/>
        </w:rPr>
        <w:t>Segmentazione della domanda in base all'età e utilizzo del credito di assistenza sociale</w:t>
      </w:r>
    </w:p>
    <w:p w14:paraId="52D80EA8" w14:textId="77777777" w:rsidR="00F94E90" w:rsidRPr="00F94E90" w:rsidRDefault="00F94E90" w:rsidP="00F94E90">
      <w:pPr>
        <w:rPr>
          <w:lang w:val="en-GB"/>
        </w:rPr>
      </w:pPr>
    </w:p>
    <w:p w14:paraId="6742B5C0" w14:textId="77777777" w:rsidR="00F94E90" w:rsidRPr="00F94E90" w:rsidRDefault="00F94E90" w:rsidP="00F94E90">
      <w:pPr>
        <w:jc w:val="both"/>
        <w:rPr>
          <w:rFonts w:ascii="Poppins" w:hAnsi="Poppins" w:cs="Poppins"/>
          <w:lang w:val="en-GB"/>
        </w:rPr>
      </w:pPr>
      <w:r w:rsidRPr="00F94E90">
        <w:rPr>
          <w:rFonts w:ascii="Poppins" w:hAnsi="Poppins" w:cs="Poppins"/>
          <w:lang w:val="en-GB"/>
        </w:rPr>
        <w:t xml:space="preserve">Alcune importanti piattaforme </w:t>
      </w:r>
      <w:r w:rsidRPr="00F94E90">
        <w:rPr>
          <w:rFonts w:ascii="Poppins" w:hAnsi="Poppins" w:cs="Poppins"/>
          <w:i/>
          <w:lang w:val="en-GB"/>
        </w:rPr>
        <w:t xml:space="preserve">di welfare aziendale </w:t>
      </w:r>
      <w:r w:rsidRPr="00F94E90">
        <w:rPr>
          <w:rFonts w:ascii="Poppins" w:hAnsi="Poppins" w:cs="Poppins"/>
          <w:lang w:val="en-GB"/>
        </w:rPr>
        <w:t>condividono regolarmente analisi sulle modalità di utilizzo del credito previdenziale attraverso i propri osservatori, sia in autonomia sia in collaborazione con università e istituti di ricerca.</w:t>
      </w:r>
    </w:p>
    <w:p w14:paraId="05436DDB" w14:textId="77777777" w:rsidR="00F94E90" w:rsidRPr="00F94E90" w:rsidRDefault="00F94E90" w:rsidP="00F94E90">
      <w:pPr>
        <w:jc w:val="both"/>
        <w:rPr>
          <w:rFonts w:ascii="Poppins" w:hAnsi="Poppins" w:cs="Poppins"/>
          <w:lang w:val="en-GB"/>
        </w:rPr>
      </w:pPr>
      <w:r w:rsidRPr="00F94E90">
        <w:rPr>
          <w:rFonts w:ascii="Poppins" w:hAnsi="Poppins" w:cs="Poppins"/>
          <w:lang w:val="en-GB"/>
        </w:rPr>
        <w:t>Questi osservatori segnalano che oltre il 60% della spesa è destinato a benefit (tipicamente carte regalo, buoni spesa o buoni carburante e rimborsi per le bollette domestiche) o a pacchetti legati a viaggi e tempo libero. Un'altra quota significativa, in particolare per i dipendenti con figli in età scolare, riguarda le spese legate all'istruzione.</w:t>
      </w:r>
    </w:p>
    <w:p w14:paraId="06DA1BA4" w14:textId="77777777" w:rsidR="00F94E90" w:rsidRPr="00F94E90" w:rsidRDefault="00F94E90" w:rsidP="00F94E90">
      <w:pPr>
        <w:jc w:val="both"/>
        <w:rPr>
          <w:rFonts w:ascii="Poppins" w:hAnsi="Poppins" w:cs="Poppins"/>
          <w:lang w:val="en-GB"/>
        </w:rPr>
      </w:pPr>
      <w:r w:rsidRPr="00F94E90">
        <w:rPr>
          <w:rFonts w:ascii="Poppins" w:hAnsi="Poppins" w:cs="Poppins"/>
          <w:lang w:val="en-GB"/>
        </w:rPr>
        <w:t>Solo una quota marginale della spesa è destinata a servizi legati all'economia dell'argento e della longevità, come i contributi ai fondi sanitari, i rimborsi per i servizi di assistenza ai parenti anziani non autosufficienti e il benessere personale o l'assistenza sanitaria.</w:t>
      </w:r>
    </w:p>
    <w:p w14:paraId="78631514" w14:textId="77777777" w:rsidR="00F94E90" w:rsidRPr="00F94E90" w:rsidRDefault="00F94E90" w:rsidP="00F94E90">
      <w:pPr>
        <w:jc w:val="both"/>
        <w:rPr>
          <w:rFonts w:ascii="Poppins" w:hAnsi="Poppins" w:cs="Poppins"/>
          <w:lang w:val="en-GB"/>
        </w:rPr>
      </w:pPr>
      <w:r w:rsidRPr="00F94E90">
        <w:rPr>
          <w:rFonts w:ascii="Poppins" w:hAnsi="Poppins" w:cs="Poppins"/>
          <w:lang w:val="en-GB"/>
        </w:rPr>
        <w:t>Questi osservatori esaminano anche la distribuzione della spesa tra le categorie per fascia d'età. Sembra emergere una tendenza relativa: rispetto ai lavoratori più giovani, le generazioni più anziane tendono ad destinare una quota leggermente maggiore del loro budget previdenziale ai contributi pensionistici e all'assistenza sanitaria. Ciononostante, i benefit continuano ad assorbire la maggior parte della spesa complessiva in tutte le fasce d'età. Gli operatori intervistati confermano il ruolo marginale della spesa relativa alla protezione sociale e all'assistenza sanitaria, fatta eccezione per i casi in cui i familiari che assistono i propri familiari utilizzano il proprio credito per sostenere i familiari anziani non autosufficienti.</w:t>
      </w:r>
    </w:p>
    <w:p w14:paraId="0C2C8A71" w14:textId="77777777" w:rsidR="00F94E90" w:rsidRPr="00F94E90" w:rsidRDefault="00F94E90" w:rsidP="00F94E90">
      <w:pPr>
        <w:jc w:val="both"/>
        <w:rPr>
          <w:rFonts w:ascii="Poppins" w:hAnsi="Poppins" w:cs="Poppins"/>
          <w:lang w:val="en-GB"/>
        </w:rPr>
      </w:pPr>
      <w:r w:rsidRPr="00F94E90">
        <w:rPr>
          <w:rFonts w:ascii="Poppins" w:hAnsi="Poppins" w:cs="Poppins"/>
          <w:lang w:val="en-GB"/>
        </w:rPr>
        <w:t>Dalle interviste emergono alcune riflessioni importanti se confrontate con i dati condivisi dai principali provider.</w:t>
      </w:r>
    </w:p>
    <w:p w14:paraId="23C7D35D" w14:textId="77777777" w:rsidR="00F94E90" w:rsidRPr="00F94E90" w:rsidRDefault="00F94E90" w:rsidP="00F94E90">
      <w:pPr>
        <w:jc w:val="both"/>
        <w:rPr>
          <w:rFonts w:ascii="Poppins" w:hAnsi="Poppins" w:cs="Poppins"/>
          <w:lang w:val="en-GB"/>
        </w:rPr>
      </w:pPr>
      <w:r w:rsidRPr="00F94E90">
        <w:rPr>
          <w:rFonts w:ascii="Poppins" w:hAnsi="Poppins" w:cs="Poppins"/>
          <w:lang w:val="en-GB"/>
        </w:rPr>
        <w:t>Una considerazione di carattere generale riguarda il fatto che i modelli di spesa sono fortemente correlati alle caratteristiche dell'offerta della piattaforma di welfare, che variano da fornitore a fornitore, e alla composizione e agli orientamenti strategici delle aziende clienti. Pertanto, i dati presentati dagli osservatori si limitano a descrivere tendenze specifiche della piattaforma in un dato contesto e non consentono generalizzazioni.</w:t>
      </w:r>
    </w:p>
    <w:p w14:paraId="4404671C" w14:textId="77777777" w:rsidR="00F94E90" w:rsidRPr="00F94E90" w:rsidRDefault="00F94E90" w:rsidP="00F94E90">
      <w:pPr>
        <w:jc w:val="both"/>
        <w:rPr>
          <w:rFonts w:ascii="Poppins" w:hAnsi="Poppins" w:cs="Poppins"/>
          <w:lang w:val="en-GB"/>
        </w:rPr>
      </w:pPr>
      <w:r w:rsidRPr="00F94E90">
        <w:rPr>
          <w:rFonts w:ascii="Poppins" w:hAnsi="Poppins" w:cs="Poppins"/>
          <w:lang w:val="en-GB"/>
        </w:rPr>
        <w:lastRenderedPageBreak/>
        <w:t>Diversi intervistati hanno riconosciuto che i fornitori potrebbero avere un interesse economico diretto nel dirigere la spesa verso categorie che generano margini più elevati e costi di gestione più bassi.</w:t>
      </w:r>
    </w:p>
    <w:p w14:paraId="77F46C38" w14:textId="28846A17" w:rsidR="00F94E90" w:rsidRPr="00F94E90" w:rsidRDefault="00F94E90" w:rsidP="00F94E90">
      <w:pPr>
        <w:ind w:left="720"/>
        <w:jc w:val="both"/>
        <w:rPr>
          <w:rFonts w:ascii="Poppins" w:hAnsi="Poppins" w:cs="Poppins"/>
        </w:rPr>
      </w:pPr>
      <w:r w:rsidRPr="00F94E90">
        <w:rPr>
          <w:rFonts w:ascii="Poppins" w:hAnsi="Poppins" w:cs="Poppins"/>
        </w:rPr>
        <w:t xml:space="preserve">[« </w:t>
      </w:r>
      <w:r w:rsidRPr="00F94E90">
        <w:rPr>
          <w:rFonts w:ascii="Poppins" w:hAnsi="Poppins" w:cs="Poppins"/>
          <w:color w:val="0B4E3B"/>
        </w:rPr>
        <w:t xml:space="preserve">Hanno interesse che i lavoratori spendono il credito welfare non in base ai loro reali bisogni, ma dove la piattaforma guadagna di più. Ovviamente nessuno te lo dirà mai, nemmeno sotto tortura </w:t>
      </w:r>
      <w:r w:rsidRPr="00F94E90">
        <w:rPr>
          <w:rFonts w:ascii="Poppins" w:hAnsi="Poppins" w:cs="Poppins"/>
        </w:rPr>
        <w:t>!», System Integrator (Territorial ) A].</w:t>
      </w:r>
    </w:p>
    <w:p w14:paraId="76E89262" w14:textId="77777777" w:rsidR="00F94E90" w:rsidRPr="00F94E90" w:rsidRDefault="00F94E90" w:rsidP="00F94E90">
      <w:pPr>
        <w:jc w:val="both"/>
        <w:rPr>
          <w:rFonts w:ascii="Poppins" w:hAnsi="Poppins" w:cs="Poppins"/>
          <w:lang w:val="en-GB"/>
        </w:rPr>
      </w:pPr>
      <w:r w:rsidRPr="00F94E90">
        <w:rPr>
          <w:rFonts w:ascii="Poppins" w:hAnsi="Poppins" w:cs="Poppins"/>
          <w:lang w:val="en-GB"/>
        </w:rPr>
        <w:t>Alcuni fornitori, tuttavia, descrivono un modello aziendale che non si basa sulle commissioni dei fornitori e quindi rifiutano questo tipo di conflitto di interessi.</w:t>
      </w:r>
    </w:p>
    <w:p w14:paraId="5344A51F" w14:textId="77777777" w:rsidR="00F94E90" w:rsidRPr="00F94E90" w:rsidRDefault="00F94E90" w:rsidP="00F94E90">
      <w:pPr>
        <w:jc w:val="both"/>
        <w:rPr>
          <w:rFonts w:ascii="Poppins" w:hAnsi="Poppins" w:cs="Poppins"/>
          <w:lang w:val="en-GB"/>
        </w:rPr>
      </w:pPr>
      <w:r w:rsidRPr="00F94E90">
        <w:rPr>
          <w:rFonts w:ascii="Poppins" w:hAnsi="Poppins" w:cs="Poppins"/>
          <w:lang w:val="en-GB"/>
        </w:rPr>
        <w:t>Un secondo pregiudizio, specifico della distribuzione dei dati in base all'età, riguarda la difficoltà nel distinguere, in particolare tra i dipendenti più anziani, tra l'effettivo beneficiario del credito previdenziale e la persona che gestisce il relativo account sulla piattaforma.</w:t>
      </w:r>
    </w:p>
    <w:p w14:paraId="0B7F8948" w14:textId="77777777" w:rsidR="00F94E90" w:rsidRPr="00F94E90" w:rsidRDefault="00F94E90" w:rsidP="00F94E90">
      <w:pPr>
        <w:jc w:val="both"/>
        <w:rPr>
          <w:rFonts w:ascii="Poppins" w:hAnsi="Poppins" w:cs="Poppins"/>
          <w:lang w:val="en-GB"/>
        </w:rPr>
      </w:pPr>
      <w:r w:rsidRPr="00F94E90">
        <w:rPr>
          <w:rFonts w:ascii="Poppins" w:hAnsi="Poppins" w:cs="Poppins"/>
          <w:lang w:val="en-GB"/>
        </w:rPr>
        <w:t>Diverse fonti hanno espresso il sospetto che i lavoratori senior, soprattutto nelle aziende con una forza lavoro prevalentemente poco qualificata, potrebbero incontrare difficoltà nell'utilizzo delle piattaforme di welfare digitale a causa di un divario tecnologico o semplicemente di una mancanza di interesse.</w:t>
      </w:r>
    </w:p>
    <w:p w14:paraId="36C23BAA" w14:textId="77777777" w:rsidR="00F94E90" w:rsidRPr="00F94E90" w:rsidRDefault="00F94E90" w:rsidP="00F94E90">
      <w:pPr>
        <w:jc w:val="both"/>
        <w:rPr>
          <w:rFonts w:ascii="Poppins" w:hAnsi="Poppins" w:cs="Poppins"/>
          <w:lang w:val="en-GB"/>
        </w:rPr>
      </w:pPr>
      <w:r w:rsidRPr="00F94E90">
        <w:rPr>
          <w:rFonts w:ascii="Poppins" w:hAnsi="Poppins" w:cs="Poppins"/>
          <w:lang w:val="en-GB"/>
        </w:rPr>
        <w:t>Si dice che il problema riguardi sia gli operai che gli impiegati delle filiali remote.</w:t>
      </w:r>
    </w:p>
    <w:p w14:paraId="5477BE8D" w14:textId="77777777" w:rsidR="00F94E90" w:rsidRPr="00F94E90" w:rsidRDefault="00F94E90" w:rsidP="00F94E90">
      <w:pPr>
        <w:ind w:left="720"/>
        <w:jc w:val="both"/>
        <w:rPr>
          <w:rFonts w:ascii="Poppins" w:hAnsi="Poppins" w:cs="Poppins"/>
        </w:rPr>
      </w:pPr>
      <w:r w:rsidRPr="00F94E90">
        <w:rPr>
          <w:rFonts w:ascii="Poppins" w:hAnsi="Poppins" w:cs="Poppins"/>
        </w:rPr>
        <w:t xml:space="preserve">[«(…) </w:t>
      </w:r>
      <w:r w:rsidRPr="00F94E90">
        <w:rPr>
          <w:rFonts w:ascii="Poppins" w:hAnsi="Poppins" w:cs="Poppins"/>
          <w:color w:val="0B4E3B"/>
        </w:rPr>
        <w:t>la popolazione dei </w:t>
      </w:r>
      <w:r w:rsidRPr="00F94E90">
        <w:rPr>
          <w:rFonts w:ascii="Poppins" w:hAnsi="Poppins" w:cs="Poppins"/>
          <w:i/>
          <w:iCs/>
          <w:color w:val="0B4E3B"/>
        </w:rPr>
        <w:t>blue collar</w:t>
      </w:r>
      <w:r w:rsidRPr="00F94E90">
        <w:rPr>
          <w:rFonts w:ascii="Poppins" w:hAnsi="Poppins" w:cs="Poppins"/>
          <w:color w:val="0B4E3B"/>
        </w:rPr>
        <w:t>, o comunque le persone che stanno in produzione, gli autisti, tutto il personale che sta sul territorio ma che si trova più lontano dalla sede centrale dell’azienda</w:t>
      </w:r>
      <w:r w:rsidRPr="00F94E90">
        <w:rPr>
          <w:rFonts w:ascii="Poppins" w:hAnsi="Poppins" w:cs="Poppins"/>
        </w:rPr>
        <w:t>.», Hybrid Provider B]</w:t>
      </w:r>
    </w:p>
    <w:p w14:paraId="10D6003E" w14:textId="77777777" w:rsidR="00F94E90" w:rsidRPr="00F94E90" w:rsidRDefault="00F94E90" w:rsidP="00F94E90">
      <w:pPr>
        <w:jc w:val="both"/>
        <w:rPr>
          <w:rFonts w:ascii="Poppins" w:hAnsi="Poppins" w:cs="Poppins"/>
          <w:lang w:val="en-GB"/>
        </w:rPr>
      </w:pPr>
      <w:r w:rsidRPr="00F94E90">
        <w:rPr>
          <w:rFonts w:ascii="Poppins" w:hAnsi="Poppins" w:cs="Poppins"/>
          <w:lang w:val="en-GB"/>
        </w:rPr>
        <w:t xml:space="preserve">This often leads to delegation to a family member, a colleague, or a union representative. </w:t>
      </w:r>
    </w:p>
    <w:p w14:paraId="7CD3F5E7" w14:textId="77777777" w:rsidR="00F94E90" w:rsidRPr="00F94E90" w:rsidRDefault="00F94E90" w:rsidP="00F94E90">
      <w:pPr>
        <w:ind w:left="720"/>
        <w:jc w:val="both"/>
        <w:rPr>
          <w:rFonts w:ascii="Poppins" w:hAnsi="Poppins" w:cs="Poppins"/>
        </w:rPr>
      </w:pPr>
      <w:r w:rsidRPr="00F94E90">
        <w:rPr>
          <w:rFonts w:ascii="Poppins" w:hAnsi="Poppins" w:cs="Poppins"/>
        </w:rPr>
        <w:t>[«</w:t>
      </w:r>
      <w:r w:rsidRPr="00F94E90">
        <w:rPr>
          <w:rFonts w:ascii="Poppins" w:hAnsi="Poppins" w:cs="Poppins"/>
          <w:color w:val="0B4E3B"/>
        </w:rPr>
        <w:t>Il lavoratore anziano ha il welfare perché è il suo, perché il datore di lavoro l’ha dato per lui, ma spesso su questo lavoratore ci sono delle difficoltà di tipo digitale, per cui lui il welfare lo fa prendere dalla moglie o dal figlio. Per cui noi possiamo fare tutte le analisi che vogliamo. Va a finire su Amazon, anche se lui non lo sa usare Amazon. Lo usa il figlio</w:t>
      </w:r>
      <w:r w:rsidRPr="00F94E90">
        <w:rPr>
          <w:rFonts w:ascii="Poppins" w:hAnsi="Poppins" w:cs="Poppins"/>
        </w:rPr>
        <w:t>!», Hybrid Provider D]</w:t>
      </w:r>
    </w:p>
    <w:p w14:paraId="6A8DA5A3" w14:textId="77777777" w:rsidR="00F94E90" w:rsidRPr="00F94E90" w:rsidRDefault="00F94E90" w:rsidP="00F94E90">
      <w:pPr>
        <w:ind w:left="720"/>
        <w:jc w:val="both"/>
        <w:rPr>
          <w:rFonts w:ascii="Poppins" w:hAnsi="Poppins" w:cs="Poppins"/>
        </w:rPr>
      </w:pPr>
      <w:r w:rsidRPr="00F94E90">
        <w:rPr>
          <w:rFonts w:ascii="Poppins" w:hAnsi="Poppins" w:cs="Poppins"/>
        </w:rPr>
        <w:t xml:space="preserve">[« </w:t>
      </w:r>
      <w:r w:rsidRPr="00F94E90">
        <w:rPr>
          <w:rFonts w:ascii="Poppins" w:hAnsi="Poppins" w:cs="Poppins"/>
          <w:color w:val="0B4E3B"/>
        </w:rPr>
        <w:t xml:space="preserve">lo usa la moglie che entra e decide cosa fare. </w:t>
      </w:r>
      <w:r w:rsidRPr="00F94E90">
        <w:rPr>
          <w:rFonts w:ascii="Poppins" w:hAnsi="Poppins" w:cs="Poppins"/>
        </w:rPr>
        <w:t>», Integratore di sistema (digitale) A]</w:t>
      </w:r>
    </w:p>
    <w:p w14:paraId="57184ED5" w14:textId="77777777" w:rsidR="00F94E90" w:rsidRPr="00F94E90" w:rsidRDefault="00F94E90" w:rsidP="00F94E90">
      <w:pPr>
        <w:jc w:val="both"/>
        <w:rPr>
          <w:rFonts w:ascii="Poppins" w:hAnsi="Poppins" w:cs="Poppins"/>
          <w:lang w:val="en-GB"/>
        </w:rPr>
      </w:pPr>
      <w:r w:rsidRPr="00F94E90">
        <w:rPr>
          <w:rFonts w:ascii="Poppins" w:hAnsi="Poppins" w:cs="Poppins"/>
          <w:lang w:val="en-GB"/>
        </w:rPr>
        <w:t>Quando possibile, ha osservato un intervistato, i lavoratori senior tendono a preferire i buoni cartacei da utilizzare al supermercato piuttosto che navigare nel catalogo più ampio offerto dalle piattaforme digitali.</w:t>
      </w:r>
    </w:p>
    <w:p w14:paraId="5A951B71" w14:textId="77777777" w:rsidR="00F94E90" w:rsidRPr="00F94E90" w:rsidRDefault="00F94E90" w:rsidP="00F94E90">
      <w:pPr>
        <w:jc w:val="both"/>
        <w:rPr>
          <w:rFonts w:ascii="Poppins" w:hAnsi="Poppins" w:cs="Poppins"/>
          <w:lang w:val="en-GB"/>
        </w:rPr>
      </w:pPr>
      <w:r w:rsidRPr="00F94E90">
        <w:rPr>
          <w:rFonts w:ascii="Poppins" w:hAnsi="Poppins" w:cs="Poppins"/>
          <w:lang w:val="en-GB"/>
        </w:rPr>
        <w:t xml:space="preserve">Un pregiudizio più sostanziale nell'interpretazione della spesa per il welfare in base all'età deriva dal fatto che, come sottolineato da molti intervistati, i modelli di utilizzo sono influenzati meno dall'età e più dal livello di credito disponibile. Poiché la spesa per i fringe benefit è limitata per legge (attualmente a 1.000 o 2.000 euro per i dipendenti con figli a </w:t>
      </w:r>
      <w:r w:rsidRPr="00F94E90">
        <w:rPr>
          <w:rFonts w:ascii="Poppins" w:hAnsi="Poppins" w:cs="Poppins"/>
          <w:lang w:val="en-GB"/>
        </w:rPr>
        <w:lastRenderedPageBreak/>
        <w:t>carico), i beneficiari con budget più ampi per il credito previdenziale sono incoraggiati a valutare opzioni di spesa alternative.</w:t>
      </w:r>
    </w:p>
    <w:p w14:paraId="254AA4A1" w14:textId="77777777" w:rsidR="00F94E90" w:rsidRPr="00F94E90" w:rsidRDefault="00F94E90" w:rsidP="00F94E90">
      <w:pPr>
        <w:jc w:val="both"/>
        <w:rPr>
          <w:rFonts w:ascii="Poppins" w:hAnsi="Poppins" w:cs="Poppins"/>
          <w:lang w:val="en-GB"/>
        </w:rPr>
      </w:pPr>
      <w:r w:rsidRPr="00F94E90">
        <w:rPr>
          <w:rFonts w:ascii="Poppins" w:hAnsi="Poppins" w:cs="Poppins"/>
          <w:lang w:val="en-GB"/>
        </w:rPr>
        <w:t>Poiché i dipendenti più anziani tendono ad avere stipendi più alti e quindi a ricevere maggiori crediti previdenziali, l'età è correlata alla disponibilità di credito. Ciò suggerisce la necessità di maggiore cautela nell'interpretazione dei dati e richiede ulteriori analisi utilizzando set di dati disaggregati.</w:t>
      </w:r>
    </w:p>
    <w:p w14:paraId="3B9A8184" w14:textId="77777777" w:rsidR="00F94E90" w:rsidRPr="00F94E90" w:rsidRDefault="00F94E90" w:rsidP="00F94E90">
      <w:pPr>
        <w:jc w:val="both"/>
        <w:rPr>
          <w:rFonts w:ascii="Poppins" w:hAnsi="Poppins" w:cs="Poppins"/>
          <w:lang w:val="en-GB"/>
        </w:rPr>
      </w:pPr>
      <w:r w:rsidRPr="00F94E90">
        <w:rPr>
          <w:rFonts w:ascii="Poppins" w:hAnsi="Poppins" w:cs="Poppins"/>
          <w:lang w:val="en-GB"/>
        </w:rPr>
        <w:t>Ciononostante, diversi intervistati hanno osservato una maggiore propensione tra i dipendenti senior a investire in pensioni integrative. Questo comportamento evidenzia un doppio paradosso: i dipendenti più giovani, che trarrebbero maggiori benefici dal risparmio pensionistico per la natura del sistema pensionistico, sono meno propensi a farlo; i dipendenti più anziani, sebbene più consapevoli della loro necessità di copertura sanitaria, pensionistica e di assistenza a lungo termine, faticano a orientarsi tra le opzioni disponibili a causa della complessità, delle implicazioni fiscali e della burocrazia digitale.</w:t>
      </w:r>
    </w:p>
    <w:p w14:paraId="3167744E" w14:textId="77777777" w:rsidR="00F94E90" w:rsidRPr="00F94E90" w:rsidRDefault="00F94E90" w:rsidP="00F94E90">
      <w:pPr>
        <w:jc w:val="both"/>
        <w:rPr>
          <w:rFonts w:ascii="Poppins" w:hAnsi="Poppins" w:cs="Poppins"/>
          <w:lang w:val="en-GB"/>
        </w:rPr>
      </w:pPr>
      <w:r w:rsidRPr="00F94E90">
        <w:rPr>
          <w:rFonts w:ascii="Poppins" w:hAnsi="Poppins" w:cs="Poppins"/>
          <w:lang w:val="en-GB"/>
        </w:rPr>
        <w:t>Questo paradosso è spesso attribuito al basso livello di educazione finanziaria del Paese, un argomento su cui molti fornitori affermano di investire, offrendo webinar gratuiti, strumenti di autovalutazione e consulenze individuali, spesso in collaborazione con aziende specializzate.</w:t>
      </w:r>
    </w:p>
    <w:p w14:paraId="68E59585" w14:textId="77777777" w:rsidR="00F94E90" w:rsidRPr="00F94E90" w:rsidRDefault="00F94E90" w:rsidP="00F94E90">
      <w:pPr>
        <w:jc w:val="both"/>
        <w:rPr>
          <w:rFonts w:ascii="Poppins" w:hAnsi="Poppins" w:cs="Poppins"/>
          <w:lang w:val="en-GB"/>
        </w:rPr>
      </w:pPr>
      <w:r w:rsidRPr="00F94E90">
        <w:rPr>
          <w:rFonts w:ascii="Poppins" w:hAnsi="Poppins" w:cs="Poppins"/>
          <w:lang w:val="en-GB"/>
        </w:rPr>
        <w:t>Da questo punto divergono due approcci strategici:</w:t>
      </w:r>
    </w:p>
    <w:p w14:paraId="4AA61091" w14:textId="77777777" w:rsidR="00F94E90" w:rsidRPr="00F94E90" w:rsidRDefault="00F94E90" w:rsidP="00F94E90">
      <w:pPr>
        <w:numPr>
          <w:ilvl w:val="0"/>
          <w:numId w:val="4"/>
        </w:numPr>
        <w:jc w:val="both"/>
        <w:rPr>
          <w:rFonts w:ascii="Poppins" w:hAnsi="Poppins" w:cs="Poppins"/>
          <w:lang w:val="en-GB"/>
        </w:rPr>
      </w:pPr>
      <w:r w:rsidRPr="00F94E90">
        <w:rPr>
          <w:rFonts w:ascii="Poppins" w:hAnsi="Poppins" w:cs="Poppins"/>
          <w:b/>
          <w:bCs/>
          <w:lang w:val="en-GB"/>
        </w:rPr>
        <w:t xml:space="preserve">I provider agnostici </w:t>
      </w:r>
      <w:r w:rsidRPr="00F94E90">
        <w:rPr>
          <w:rFonts w:ascii="Poppins" w:hAnsi="Poppins" w:cs="Poppins"/>
          <w:lang w:val="en-GB"/>
        </w:rPr>
        <w:t>si concentrano sul self-service e sull'ottimizzazione dell'esperienza utente. La piattaforma è concepita come una commodity, così semplice da non richiedere alcuna formazione. L'idea di fondo è che le scelte non debbano essere orientate in alcun modo e che, sebbene un modello "taglia unica" non sia più praticabile [Pure Provider E], la soluzione risiede unicamente nell'ampliare la gamma di opzioni disponibili, consentendo ai dipendenti di decidere autonomamente come allocare i propri crediti previdenziali.</w:t>
      </w:r>
    </w:p>
    <w:p w14:paraId="5FD6712D" w14:textId="77777777" w:rsidR="00F94E90" w:rsidRPr="00F94E90" w:rsidRDefault="00F94E90" w:rsidP="00F94E90">
      <w:pPr>
        <w:pStyle w:val="Paragrafoelenco"/>
        <w:ind w:left="1440"/>
        <w:jc w:val="both"/>
        <w:rPr>
          <w:rFonts w:ascii="Poppins" w:hAnsi="Poppins" w:cs="Poppins"/>
          <w:sz w:val="22"/>
          <w:szCs w:val="22"/>
        </w:rPr>
      </w:pPr>
      <w:r w:rsidRPr="00F94E90">
        <w:rPr>
          <w:rFonts w:ascii="Poppins" w:hAnsi="Poppins" w:cs="Poppins"/>
          <w:sz w:val="22"/>
          <w:szCs w:val="22"/>
        </w:rPr>
        <w:t>[«</w:t>
      </w:r>
      <w:r w:rsidRPr="00F94E90">
        <w:rPr>
          <w:rFonts w:ascii="Poppins" w:hAnsi="Poppins" w:cs="Poppins"/>
          <w:color w:val="0B4E3B"/>
          <w:sz w:val="22"/>
          <w:szCs w:val="22"/>
        </w:rPr>
        <w:t xml:space="preserve">In realtà, la vera chiave di volta è proprio sulla </w:t>
      </w:r>
      <w:r w:rsidRPr="00F94E90">
        <w:rPr>
          <w:rFonts w:ascii="Poppins" w:hAnsi="Poppins" w:cs="Poppins"/>
          <w:i/>
          <w:iCs/>
          <w:color w:val="0B4E3B"/>
          <w:sz w:val="22"/>
          <w:szCs w:val="22"/>
        </w:rPr>
        <w:t>user experience</w:t>
      </w:r>
      <w:r w:rsidRPr="00F94E90">
        <w:rPr>
          <w:rFonts w:ascii="Poppins" w:hAnsi="Poppins" w:cs="Poppins"/>
          <w:color w:val="0B4E3B"/>
          <w:sz w:val="22"/>
          <w:szCs w:val="22"/>
        </w:rPr>
        <w:t xml:space="preserve">, quindi andare su qualcosa che gli utenti davvero possano utilizzare nel loro quotidiano. Allora lì aumenti la possibilità di aumentare i volumi di utilizzo. Perché, ad oggi, io magari ho un credito, ma non è detto che tutti lo utilizzino perché ci sono tutta una serie di barriere tecnologiche di </w:t>
      </w:r>
      <w:r w:rsidRPr="00F94E90">
        <w:rPr>
          <w:rFonts w:ascii="Poppins" w:hAnsi="Poppins" w:cs="Poppins"/>
          <w:i/>
          <w:iCs/>
          <w:color w:val="0B4E3B"/>
          <w:sz w:val="22"/>
          <w:szCs w:val="22"/>
        </w:rPr>
        <w:t>user experience</w:t>
      </w:r>
      <w:r w:rsidRPr="00F94E90">
        <w:rPr>
          <w:rFonts w:ascii="Poppins" w:hAnsi="Poppins" w:cs="Poppins"/>
          <w:color w:val="0B4E3B"/>
          <w:sz w:val="22"/>
          <w:szCs w:val="22"/>
        </w:rPr>
        <w:t xml:space="preserve"> che non lo rendono possibile. Quello in realtà è il futuro di quel prodotto che ormai è arrivato a una maturità del mercato abbastanza elevata</w:t>
      </w:r>
      <w:r w:rsidRPr="00F94E90">
        <w:rPr>
          <w:rFonts w:ascii="Poppins" w:hAnsi="Poppins" w:cs="Poppins"/>
          <w:sz w:val="22"/>
          <w:szCs w:val="22"/>
        </w:rPr>
        <w:t>» Pure Provider C].</w:t>
      </w:r>
    </w:p>
    <w:p w14:paraId="40C0B7C5" w14:textId="77777777" w:rsidR="00F94E90" w:rsidRPr="00F94E90" w:rsidRDefault="00F94E90" w:rsidP="00F94E90">
      <w:pPr>
        <w:numPr>
          <w:ilvl w:val="0"/>
          <w:numId w:val="4"/>
        </w:numPr>
        <w:jc w:val="both"/>
        <w:rPr>
          <w:rFonts w:ascii="Poppins" w:hAnsi="Poppins" w:cs="Poppins"/>
          <w:lang w:val="en-GB"/>
        </w:rPr>
      </w:pPr>
      <w:r w:rsidRPr="00F94E90">
        <w:rPr>
          <w:rFonts w:ascii="Poppins" w:hAnsi="Poppins" w:cs="Poppins"/>
          <w:b/>
          <w:bCs/>
          <w:lang w:val="en-GB"/>
        </w:rPr>
        <w:t xml:space="preserve">I fornitori proattivi </w:t>
      </w:r>
      <w:r w:rsidRPr="00F94E90">
        <w:rPr>
          <w:rFonts w:ascii="Poppins" w:hAnsi="Poppins" w:cs="Poppins"/>
          <w:lang w:val="en-GB"/>
        </w:rPr>
        <w:t xml:space="preserve">, in genere operatori ibridi focalizzati sulla cura delle persone e sul supporto a lungo termine, sostengono che la semplicità tecnica non sia sufficiente. Ciò che serve sono sessioni di formazione a distanza, o idealmente in presenza, storytelling ed esempi pratici per dimostrare il valore sociale (non solo monetario) del welfare. Per questi attori, formazione e supporto sono parte </w:t>
      </w:r>
      <w:r w:rsidRPr="00F94E90">
        <w:rPr>
          <w:rFonts w:ascii="Poppins" w:hAnsi="Poppins" w:cs="Poppins"/>
          <w:lang w:val="en-GB"/>
        </w:rPr>
        <w:lastRenderedPageBreak/>
        <w:t>integrante del prodotto, non un costo opzionale. Sono considerati necessari per ottimizzare l'utilizzo della piattaforma, aumentare il coinvolgimento e la soddisfazione e ridurre la quota di benefit non richiesti. Un fornitore ha riassunto questa posizione spiegando che senza un supporto dedicato, alcuni servizi, in particolare quelli relativi alla cura della persona, rimangono invisibili.</w:t>
      </w:r>
    </w:p>
    <w:p w14:paraId="3C56D409" w14:textId="2978ADDD" w:rsidR="00F94E90" w:rsidRPr="00F94E90" w:rsidRDefault="00F94E90" w:rsidP="00F94E90">
      <w:pPr>
        <w:ind w:left="1440"/>
        <w:jc w:val="both"/>
        <w:rPr>
          <w:rFonts w:ascii="Poppins" w:hAnsi="Poppins" w:cs="Poppins"/>
        </w:rPr>
      </w:pPr>
      <w:r w:rsidRPr="00F94E90">
        <w:rPr>
          <w:rFonts w:ascii="Poppins" w:hAnsi="Poppins" w:cs="Poppins"/>
        </w:rPr>
        <w:t>[«</w:t>
      </w:r>
      <w:r w:rsidRPr="00F94E90">
        <w:rPr>
          <w:rFonts w:ascii="Poppins" w:hAnsi="Poppins" w:cs="Poppins"/>
          <w:color w:val="0B4E3B"/>
        </w:rPr>
        <w:t>Il dato della previdenza integrativa è bassissimo. C'è proprio una mancanza di conoscenza e quindi le persone non neanche che cos'è</w:t>
      </w:r>
      <w:r w:rsidRPr="00F94E90">
        <w:rPr>
          <w:rFonts w:ascii="Poppins" w:hAnsi="Poppins" w:cs="Poppins"/>
        </w:rPr>
        <w:t>», System Integrator (Digital) A]</w:t>
      </w:r>
    </w:p>
    <w:p w14:paraId="6A114472" w14:textId="77777777" w:rsidR="00F94E90" w:rsidRPr="00F94E90" w:rsidRDefault="00F94E90" w:rsidP="00F94E90">
      <w:pPr>
        <w:ind w:left="1440"/>
        <w:jc w:val="both"/>
        <w:rPr>
          <w:rFonts w:ascii="Poppins" w:hAnsi="Poppins" w:cs="Poppins"/>
        </w:rPr>
      </w:pPr>
      <w:r w:rsidRPr="00F94E90">
        <w:rPr>
          <w:rFonts w:ascii="Poppins" w:hAnsi="Poppins" w:cs="Poppins"/>
        </w:rPr>
        <w:t>[«</w:t>
      </w:r>
      <w:r w:rsidRPr="00F94E90">
        <w:rPr>
          <w:rFonts w:ascii="Poppins" w:hAnsi="Poppins" w:cs="Poppins"/>
          <w:color w:val="0B4E3B"/>
        </w:rPr>
        <w:t>La cultura della previdenza complementare in Italia non c'è. Cioè, a questi ragazzi che vanno in azienda gli dicono che la piattaforma è una figata perché c’è Zalando o il buono Amazon. Ma tu dovresti... non dico obbligarli perché non lo puoi fare, ma gli devi fare una testa così, cioè, devi fare formazione sul valore del welfare aziendale e pubblico. Perché, forse dovranno lavorare fino a 70 anni, ma poi che pensione avranno?</w:t>
      </w:r>
      <w:r w:rsidRPr="00F94E90">
        <w:rPr>
          <w:rFonts w:ascii="Poppins" w:hAnsi="Poppins" w:cs="Poppins"/>
        </w:rPr>
        <w:t>», System Integrator (Digital) B].</w:t>
      </w:r>
    </w:p>
    <w:p w14:paraId="7E0CD348" w14:textId="77777777" w:rsidR="00916AEE" w:rsidRPr="00F94E90" w:rsidRDefault="00916AEE" w:rsidP="00094FDF">
      <w:pPr>
        <w:jc w:val="both"/>
        <w:rPr>
          <w:rFonts w:ascii="Poppins" w:hAnsi="Poppins" w:cs="Poppins"/>
          <w:lang w:val="en-GB"/>
        </w:rPr>
      </w:pPr>
      <w:r w:rsidRPr="00F94E90">
        <w:rPr>
          <w:rFonts w:ascii="Poppins" w:hAnsi="Poppins" w:cs="Poppins"/>
        </w:rPr>
        <w:t>Alcuni fornitori notano che, anche se marginalmente, l'educazione finanziaria è di per sé un'opzione più ricercata tra i dipendenti senior, che iniziano a preoccuparsi della vita dopo il lavoro.</w:t>
      </w:r>
    </w:p>
    <w:p w14:paraId="29E21E66" w14:textId="77777777" w:rsidR="00F94E90" w:rsidRPr="00F94E90" w:rsidRDefault="00F94E90" w:rsidP="00F94E90">
      <w:pPr>
        <w:jc w:val="both"/>
        <w:rPr>
          <w:rFonts w:ascii="Poppins" w:hAnsi="Poppins" w:cs="Poppins"/>
          <w:lang w:val="en-GB"/>
        </w:rPr>
      </w:pPr>
      <w:r w:rsidRPr="00F94E90">
        <w:rPr>
          <w:rFonts w:ascii="Poppins" w:hAnsi="Poppins" w:cs="Poppins"/>
          <w:lang w:val="en-GB"/>
        </w:rPr>
        <w:t>Tra gli intervistati che gestiscono piattaforme generaliste o verticali, non tutti dispongono di una solida infrastruttura dati che consenta loro di esplorare in modo approfondito l'utilizzo. Alcuni raccolgono dati precisi, ma non li suddividono per età nei loro report standard o non hanno ancora sviluppato analisi mirate. Altri hanno adottato policy sulla privacy dei dati particolarmente restrittive che impediscono loro di elaborare queste informazioni.</w:t>
      </w:r>
    </w:p>
    <w:p w14:paraId="62B4F33D" w14:textId="4D1262E6" w:rsidR="00F94E90" w:rsidRPr="00F94E90" w:rsidRDefault="00F94E90" w:rsidP="00F94E90">
      <w:pPr>
        <w:jc w:val="both"/>
        <w:rPr>
          <w:rFonts w:ascii="Poppins" w:hAnsi="Poppins" w:cs="Poppins"/>
          <w:lang w:val="en-GB"/>
        </w:rPr>
      </w:pPr>
      <w:r w:rsidRPr="00F94E90">
        <w:rPr>
          <w:rFonts w:ascii="Poppins" w:hAnsi="Poppins" w:cs="Poppins"/>
          <w:lang w:val="en-GB"/>
        </w:rPr>
        <w:t xml:space="preserve">Esiste, tuttavia, una generale volontà di stipulare accordi formali per condividere dati aggregati a fini di ricerca, con l'obiettivo di colmare l'attuale lacuna di conoscenza riguardo al ruolo dell'invecchiamento nel modellare l'uso del </w:t>
      </w:r>
      <w:r w:rsidRPr="00F94E90">
        <w:rPr>
          <w:rFonts w:ascii="Poppins" w:hAnsi="Poppins" w:cs="Poppins"/>
          <w:i/>
          <w:iCs/>
          <w:lang w:val="en-GB"/>
        </w:rPr>
        <w:t>welfare aziendale</w:t>
      </w:r>
      <w:r w:rsidRPr="00F94E90">
        <w:rPr>
          <w:rFonts w:ascii="Poppins" w:hAnsi="Poppins" w:cs="Poppins"/>
          <w:lang w:val="en-GB"/>
        </w:rPr>
        <w:t>.</w:t>
      </w:r>
    </w:p>
    <w:p w14:paraId="70317951" w14:textId="77777777" w:rsidR="007A39E0" w:rsidRPr="00F94E90" w:rsidRDefault="007A39E0" w:rsidP="00F94E90">
      <w:pPr>
        <w:pStyle w:val="Titolo2"/>
        <w:jc w:val="both"/>
        <w:rPr>
          <w:rFonts w:ascii="Poppins" w:hAnsi="Poppins" w:cs="Poppins"/>
          <w:color w:val="124F1A" w:themeColor="accent3" w:themeShade="BF"/>
          <w:sz w:val="22"/>
          <w:szCs w:val="22"/>
          <w:lang w:val="en-GB"/>
        </w:rPr>
      </w:pPr>
    </w:p>
    <w:sectPr w:rsidR="007A39E0" w:rsidRPr="00F94E90">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71EDA" w14:textId="77777777" w:rsidR="00BB7755" w:rsidRDefault="00BB7755" w:rsidP="0079697F">
      <w:r>
        <w:separator/>
      </w:r>
    </w:p>
  </w:endnote>
  <w:endnote w:type="continuationSeparator" w:id="0">
    <w:p w14:paraId="53844E3A" w14:textId="77777777" w:rsidR="00BB7755" w:rsidRDefault="00BB7755"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D7593" w14:textId="77777777" w:rsidR="00BB7755" w:rsidRDefault="00BB7755" w:rsidP="0079697F">
      <w:r>
        <w:separator/>
      </w:r>
    </w:p>
  </w:footnote>
  <w:footnote w:type="continuationSeparator" w:id="0">
    <w:p w14:paraId="573059E3" w14:textId="77777777" w:rsidR="00BB7755" w:rsidRDefault="00BB7755"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B585F"/>
    <w:multiLevelType w:val="multilevel"/>
    <w:tmpl w:val="EA48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8F541D"/>
    <w:multiLevelType w:val="hybridMultilevel"/>
    <w:tmpl w:val="385452A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abstractNum w:abstractNumId="3" w15:restartNumberingAfterBreak="0">
    <w:nsid w:val="77B07491"/>
    <w:multiLevelType w:val="multilevel"/>
    <w:tmpl w:val="54B6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49925">
    <w:abstractNumId w:val="2"/>
  </w:num>
  <w:num w:numId="2" w16cid:durableId="499663861">
    <w:abstractNumId w:val="1"/>
  </w:num>
  <w:num w:numId="3" w16cid:durableId="2102945104">
    <w:abstractNumId w:val="0"/>
  </w:num>
  <w:num w:numId="4" w16cid:durableId="111940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23DFC"/>
    <w:rsid w:val="0005490A"/>
    <w:rsid w:val="000D55C8"/>
    <w:rsid w:val="001108E7"/>
    <w:rsid w:val="001268BF"/>
    <w:rsid w:val="001D0BC5"/>
    <w:rsid w:val="001F2272"/>
    <w:rsid w:val="002F6176"/>
    <w:rsid w:val="00352CBC"/>
    <w:rsid w:val="00454C07"/>
    <w:rsid w:val="004C1BB9"/>
    <w:rsid w:val="004C207B"/>
    <w:rsid w:val="00545AD2"/>
    <w:rsid w:val="00631427"/>
    <w:rsid w:val="00737108"/>
    <w:rsid w:val="00775CAA"/>
    <w:rsid w:val="0079697F"/>
    <w:rsid w:val="007A39E0"/>
    <w:rsid w:val="00806D9D"/>
    <w:rsid w:val="00854359"/>
    <w:rsid w:val="008813E0"/>
    <w:rsid w:val="008D1363"/>
    <w:rsid w:val="00916AEE"/>
    <w:rsid w:val="009770E2"/>
    <w:rsid w:val="00A0407F"/>
    <w:rsid w:val="00A42980"/>
    <w:rsid w:val="00A560ED"/>
    <w:rsid w:val="00AE6E0D"/>
    <w:rsid w:val="00B665DD"/>
    <w:rsid w:val="00B72DDC"/>
    <w:rsid w:val="00BB3C6F"/>
    <w:rsid w:val="00BB7755"/>
    <w:rsid w:val="00C72F59"/>
    <w:rsid w:val="00CA1755"/>
    <w:rsid w:val="00CF3DA8"/>
    <w:rsid w:val="00D34108"/>
    <w:rsid w:val="00D90479"/>
    <w:rsid w:val="00DA4184"/>
    <w:rsid w:val="00DF7665"/>
    <w:rsid w:val="00F35BB5"/>
    <w:rsid w:val="00F421C8"/>
    <w:rsid w:val="00F72983"/>
    <w:rsid w:val="00F94E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A39E0"/>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PidipaginaCarattere">
    <w:name w:val="Piè di pagina Carattere"/>
    <w:basedOn w:val="Carpredefinitoparagrafo"/>
    <w:link w:val="Pidipagina"/>
    <w:uiPriority w:val="99"/>
    <w:rsid w:val="0079697F"/>
  </w:style>
  <w:style w:type="table" w:styleId="Grigliatabella">
    <w:name w:val="Table Grid"/>
    <w:basedOn w:val="Tabellanormale"/>
    <w:uiPriority w:val="39"/>
    <w:rsid w:val="00A560ED"/>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Testonotaapidipagina">
    <w:name w:val="footnote text"/>
    <w:basedOn w:val="Normale"/>
    <w:link w:val="TestonotaapidipaginaCarattere"/>
    <w:uiPriority w:val="99"/>
    <w:unhideWhenUsed/>
    <w:rsid w:val="00A560ED"/>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A560ED"/>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A560ED"/>
    <w:rPr>
      <w:vertAlign w:val="superscript"/>
    </w:rPr>
  </w:style>
  <w:style w:type="paragraph" w:styleId="Didascalia">
    <w:name w:val="caption"/>
    <w:basedOn w:val="Normale"/>
    <w:next w:val="Normale"/>
    <w:uiPriority w:val="35"/>
    <w:unhideWhenUsed/>
    <w:qFormat/>
    <w:rsid w:val="00A560ED"/>
    <w:pPr>
      <w:keepNext/>
      <w:spacing w:before="240" w:after="0" w:line="240" w:lineRule="auto"/>
      <w:jc w:val="both"/>
    </w:pPr>
    <w:rPr>
      <w:rFonts w:ascii="Times New Roman" w:eastAsiaTheme="minorHAnsi" w:hAnsi="Times New Roman" w:cstheme="minorBidi"/>
      <w:i/>
      <w:iCs/>
      <w:sz w:val="20"/>
      <w:szCs w:val="18"/>
      <w:lang w:eastAsia="ja-JP"/>
    </w:rPr>
  </w:style>
  <w:style w:type="paragraph" w:styleId="Nessunaspaziatura">
    <w:name w:val="No Spacing"/>
    <w:basedOn w:val="Normale"/>
    <w:link w:val="NessunaspaziaturaCarattere"/>
    <w:uiPriority w:val="1"/>
    <w:qFormat/>
    <w:rsid w:val="001108E7"/>
    <w:pPr>
      <w:spacing w:after="0" w:line="240" w:lineRule="auto"/>
      <w:jc w:val="both"/>
    </w:pPr>
    <w:rPr>
      <w:rFonts w:ascii="Poppins" w:eastAsiaTheme="minorEastAsia" w:hAnsi="Poppins" w:cstheme="minorBidi"/>
      <w:sz w:val="16"/>
      <w:szCs w:val="20"/>
    </w:rPr>
  </w:style>
  <w:style w:type="character" w:customStyle="1" w:styleId="NessunaspaziaturaCarattere">
    <w:name w:val="Nessuna spaziatura Carattere"/>
    <w:basedOn w:val="Carpredefinitoparagrafo"/>
    <w:link w:val="Nessunaspaziatura"/>
    <w:uiPriority w:val="1"/>
    <w:rsid w:val="001108E7"/>
    <w:rPr>
      <w:rFonts w:ascii="Poppins" w:eastAsiaTheme="minorEastAsia" w:hAnsi="Poppins"/>
      <w:kern w:val="0"/>
      <w:sz w:val="16"/>
      <w:szCs w:val="20"/>
      <w:lang w:val="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1461</Words>
  <Characters>8332</Characters>
  <Application>Microsoft Office Word</Application>
  <DocSecurity>0</DocSecurity>
  <Lines>69</Lines>
  <Paragraphs>19</Paragraphs>
  <ScaleCrop>false</ScaleCrop>
  <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31</cp:revision>
  <dcterms:created xsi:type="dcterms:W3CDTF">2025-09-29T20:31:00Z</dcterms:created>
  <dcterms:modified xsi:type="dcterms:W3CDTF">2025-10-02T13:40:00Z</dcterms:modified>
</cp:coreProperties>
</file>